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line="550" w:lineRule="exact"/>
        <w:jc w:val="both"/>
        <w:rPr>
          <w:rFonts w:hint="default"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附件</w:t>
      </w:r>
      <w:r>
        <w:rPr>
          <w:rFonts w:hint="eastAsia" w:eastAsia="黑体" w:cs="Times New Roman"/>
          <w:kern w:val="2"/>
          <w:sz w:val="32"/>
          <w:szCs w:val="32"/>
          <w:lang w:val="en-US" w:eastAsia="zh-CN" w:bidi="ar-SA"/>
        </w:rPr>
        <w:t>4</w:t>
      </w:r>
      <w:bookmarkStart w:id="1" w:name="_GoBack"/>
      <w:bookmarkEnd w:id="1"/>
    </w:p>
    <w:p>
      <w:pPr>
        <w:widowControl w:val="0"/>
        <w:adjustRightInd w:val="0"/>
        <w:snapToGrid w:val="0"/>
        <w:spacing w:before="0" w:line="550" w:lineRule="exact"/>
        <w:jc w:val="center"/>
        <w:rPr>
          <w:rFonts w:ascii="Times New Roman" w:hAnsi="Times New Roman" w:eastAsia="方正小标宋简体" w:cs="Times New Roman"/>
          <w:kern w:val="2"/>
          <w:sz w:val="40"/>
          <w:szCs w:val="40"/>
          <w:lang w:val="en-US" w:eastAsia="zh-Hans" w:bidi="ar-SA"/>
        </w:rPr>
      </w:pPr>
    </w:p>
    <w:p>
      <w:pPr>
        <w:widowControl w:val="0"/>
        <w:adjustRightInd w:val="0"/>
        <w:snapToGrid w:val="0"/>
        <w:spacing w:before="0" w:line="550" w:lineRule="exact"/>
        <w:jc w:val="center"/>
        <w:rPr>
          <w:rFonts w:ascii="Times New Roman" w:hAnsi="Times New Roman" w:eastAsia="方正小标宋简体" w:cs="Times New Roman"/>
          <w:kern w:val="2"/>
          <w:sz w:val="40"/>
          <w:szCs w:val="40"/>
          <w:lang w:val="en-US" w:eastAsia="zh-Hans" w:bidi="ar-SA"/>
        </w:rPr>
      </w:pPr>
      <w:r>
        <w:rPr>
          <w:rFonts w:hint="eastAsia" w:eastAsia="方正小标宋简体"/>
          <w:sz w:val="44"/>
          <w:szCs w:val="44"/>
          <w:lang w:val="en-US" w:eastAsia="zh-Hans"/>
        </w:rPr>
        <w:t>制造业中小企业数字化水平评测表（2022年版）</w:t>
      </w:r>
    </w:p>
    <w:p>
      <w:pPr>
        <w:widowControl w:val="0"/>
        <w:adjustRightInd w:val="0"/>
        <w:snapToGrid w:val="0"/>
        <w:spacing w:before="0" w:line="550" w:lineRule="exact"/>
        <w:jc w:val="both"/>
        <w:rPr>
          <w:rFonts w:ascii="Times New Roman" w:hAnsi="Times New Roman" w:eastAsia="方正小标宋简体" w:cs="Times New Roman"/>
          <w:kern w:val="2"/>
          <w:sz w:val="40"/>
          <w:szCs w:val="40"/>
          <w:lang w:val="en-US" w:eastAsia="zh-Hans" w:bidi="ar-S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23"/>
        <w:gridCol w:w="1559"/>
        <w:gridCol w:w="7507"/>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24" w:type="dxa"/>
            <w:noWrap w:val="0"/>
            <w:vAlign w:val="center"/>
          </w:tcPr>
          <w:p>
            <w:pPr>
              <w:snapToGrid w:val="0"/>
              <w:spacing w:line="340" w:lineRule="exact"/>
              <w:contextualSpacing/>
              <w:rPr>
                <w:rFonts w:eastAsia="仿宋_GB2312"/>
                <w:b/>
                <w:sz w:val="24"/>
              </w:rPr>
            </w:pPr>
            <w:r>
              <w:rPr>
                <w:rFonts w:eastAsia="仿宋_GB2312"/>
                <w:b/>
                <w:sz w:val="24"/>
              </w:rPr>
              <w:t>一级指标及权重</w:t>
            </w:r>
          </w:p>
        </w:tc>
        <w:tc>
          <w:tcPr>
            <w:tcW w:w="1623" w:type="dxa"/>
            <w:noWrap w:val="0"/>
            <w:vAlign w:val="center"/>
          </w:tcPr>
          <w:p>
            <w:pPr>
              <w:snapToGrid w:val="0"/>
              <w:spacing w:line="340" w:lineRule="exact"/>
              <w:contextualSpacing/>
              <w:rPr>
                <w:rFonts w:eastAsia="仿宋_GB2312"/>
                <w:b/>
                <w:sz w:val="24"/>
              </w:rPr>
            </w:pPr>
            <w:r>
              <w:rPr>
                <w:rFonts w:eastAsia="仿宋_GB2312"/>
                <w:b/>
                <w:sz w:val="24"/>
              </w:rPr>
              <w:t>二级指标及权重</w:t>
            </w:r>
          </w:p>
        </w:tc>
        <w:tc>
          <w:tcPr>
            <w:tcW w:w="1559" w:type="dxa"/>
            <w:noWrap w:val="0"/>
            <w:vAlign w:val="center"/>
          </w:tcPr>
          <w:p>
            <w:pPr>
              <w:snapToGrid w:val="0"/>
              <w:spacing w:line="340" w:lineRule="exact"/>
              <w:contextualSpacing/>
              <w:rPr>
                <w:rFonts w:eastAsia="仿宋_GB2312"/>
                <w:b/>
                <w:sz w:val="24"/>
              </w:rPr>
            </w:pPr>
            <w:r>
              <w:rPr>
                <w:rFonts w:eastAsia="仿宋_GB2312"/>
                <w:b/>
                <w:sz w:val="24"/>
              </w:rPr>
              <w:t>序号</w:t>
            </w:r>
          </w:p>
        </w:tc>
        <w:tc>
          <w:tcPr>
            <w:tcW w:w="7507" w:type="dxa"/>
            <w:noWrap w:val="0"/>
            <w:vAlign w:val="center"/>
          </w:tcPr>
          <w:p>
            <w:pPr>
              <w:snapToGrid w:val="0"/>
              <w:spacing w:line="340" w:lineRule="exact"/>
              <w:contextualSpacing/>
              <w:rPr>
                <w:rFonts w:eastAsia="仿宋_GB2312"/>
                <w:b/>
                <w:sz w:val="24"/>
              </w:rPr>
            </w:pPr>
            <w:r>
              <w:rPr>
                <w:rFonts w:eastAsia="仿宋_GB2312"/>
                <w:b/>
                <w:sz w:val="24"/>
              </w:rPr>
              <w:t>问卷</w:t>
            </w:r>
          </w:p>
        </w:tc>
        <w:tc>
          <w:tcPr>
            <w:tcW w:w="653" w:type="dxa"/>
            <w:noWrap w:val="0"/>
            <w:vAlign w:val="center"/>
          </w:tcPr>
          <w:p>
            <w:pPr>
              <w:snapToGrid w:val="0"/>
              <w:spacing w:line="340" w:lineRule="exact"/>
              <w:contextualSpacing/>
              <w:rPr>
                <w:rFonts w:eastAsia="仿宋_GB2312"/>
                <w:b/>
                <w:sz w:val="24"/>
              </w:rPr>
            </w:pPr>
            <w:r>
              <w:rPr>
                <w:rFonts w:eastAsia="仿宋_GB2312"/>
                <w:b/>
                <w:sz w:val="24"/>
              </w:rPr>
              <w:t>题型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restart"/>
            <w:noWrap w:val="0"/>
            <w:vAlign w:val="center"/>
          </w:tcPr>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eastAsia="仿宋_GB2312"/>
                <w:sz w:val="24"/>
              </w:rPr>
              <w:t>一、数字化基础（25%）</w:t>
            </w: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eastAsia="仿宋_GB2312"/>
                <w:sz w:val="24"/>
              </w:rPr>
              <w:t>一、数字化基础（25%）</w:t>
            </w:r>
          </w:p>
        </w:tc>
        <w:tc>
          <w:tcPr>
            <w:tcW w:w="1623" w:type="dxa"/>
            <w:vMerge w:val="restart"/>
            <w:noWrap w:val="0"/>
            <w:vAlign w:val="center"/>
          </w:tcPr>
          <w:p>
            <w:pPr>
              <w:snapToGrid w:val="0"/>
              <w:spacing w:line="340" w:lineRule="exact"/>
              <w:contextualSpacing/>
              <w:rPr>
                <w:rFonts w:eastAsia="仿宋_GB2312"/>
                <w:sz w:val="24"/>
              </w:rPr>
            </w:pPr>
            <w:r>
              <w:rPr>
                <w:rFonts w:eastAsia="仿宋_GB2312"/>
                <w:sz w:val="24"/>
              </w:rPr>
              <w:t>设备</w:t>
            </w:r>
          </w:p>
          <w:p>
            <w:pPr>
              <w:snapToGrid w:val="0"/>
              <w:spacing w:line="340" w:lineRule="exact"/>
              <w:contextualSpacing/>
              <w:rPr>
                <w:rFonts w:eastAsia="仿宋_GB2312"/>
                <w:sz w:val="24"/>
              </w:rPr>
            </w:pPr>
            <w:r>
              <w:rPr>
                <w:rFonts w:eastAsia="仿宋_GB2312"/>
                <w:sz w:val="24"/>
              </w:rPr>
              <w:t>系统</w:t>
            </w:r>
          </w:p>
          <w:p>
            <w:pPr>
              <w:snapToGrid w:val="0"/>
              <w:spacing w:line="340" w:lineRule="exact"/>
              <w:contextualSpacing/>
              <w:rPr>
                <w:rFonts w:eastAsia="仿宋_GB2312"/>
                <w:sz w:val="24"/>
              </w:rPr>
            </w:pPr>
            <w:r>
              <w:rPr>
                <w:rFonts w:eastAsia="仿宋_GB2312"/>
                <w:sz w:val="24"/>
              </w:rPr>
              <w:t>（</w:t>
            </w:r>
            <w:r>
              <w:rPr>
                <w:rFonts w:eastAsia="仿宋_GB2312"/>
                <w:kern w:val="0"/>
                <w:sz w:val="24"/>
              </w:rPr>
              <w:t>40%）</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w:t>
            </w:r>
          </w:p>
          <w:p>
            <w:pPr>
              <w:snapToGrid w:val="0"/>
              <w:spacing w:line="340" w:lineRule="exact"/>
              <w:contextualSpacing/>
              <w:rPr>
                <w:rFonts w:eastAsia="仿宋_GB2312"/>
                <w:sz w:val="24"/>
              </w:rPr>
            </w:pPr>
            <w:r>
              <w:rPr>
                <w:rFonts w:eastAsia="仿宋_GB2312"/>
                <w:sz w:val="24"/>
              </w:rPr>
              <w:t>（20%）</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企业的数字化设备覆盖范围</w:t>
            </w:r>
          </w:p>
          <w:p>
            <w:pPr>
              <w:snapToGrid w:val="0"/>
              <w:spacing w:line="340" w:lineRule="exact"/>
              <w:contextualSpacing/>
              <w:rPr>
                <w:rFonts w:eastAsia="仿宋_GB2312"/>
                <w:sz w:val="24"/>
              </w:rPr>
            </w:pPr>
            <w:r>
              <w:rPr>
                <w:rFonts w:eastAsia="仿宋_GB2312"/>
                <w:sz w:val="24"/>
              </w:rPr>
              <w:t>□单个业务环节</w:t>
            </w:r>
          </w:p>
          <w:p>
            <w:pPr>
              <w:snapToGrid w:val="0"/>
              <w:spacing w:line="340" w:lineRule="exact"/>
              <w:contextualSpacing/>
              <w:rPr>
                <w:rFonts w:eastAsia="仿宋_GB2312"/>
                <w:sz w:val="24"/>
              </w:rPr>
            </w:pPr>
            <w:r>
              <w:rPr>
                <w:rFonts w:eastAsia="仿宋_GB2312"/>
                <w:sz w:val="24"/>
              </w:rPr>
              <w:t>□关键业务环节</w:t>
            </w:r>
          </w:p>
          <w:p>
            <w:pPr>
              <w:snapToGrid w:val="0"/>
              <w:spacing w:line="340" w:lineRule="exact"/>
              <w:contextualSpacing/>
              <w:rPr>
                <w:rFonts w:eastAsia="仿宋_GB2312"/>
                <w:sz w:val="24"/>
              </w:rPr>
            </w:pPr>
            <w:r>
              <w:rPr>
                <w:rFonts w:eastAsia="仿宋_GB2312"/>
                <w:sz w:val="24"/>
              </w:rPr>
              <w:t>□绝大部分业务环节</w:t>
            </w:r>
          </w:p>
          <w:p>
            <w:pPr>
              <w:snapToGrid w:val="0"/>
              <w:spacing w:line="340" w:lineRule="exact"/>
              <w:contextualSpacing/>
              <w:rPr>
                <w:rFonts w:eastAsia="仿宋_GB2312"/>
                <w:sz w:val="24"/>
              </w:rPr>
            </w:pPr>
            <w:r>
              <w:rPr>
                <w:rFonts w:eastAsia="仿宋_GB2312"/>
                <w:sz w:val="24"/>
              </w:rPr>
              <w:t>□全覆盖</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continue"/>
            <w:noWrap w:val="0"/>
            <w:vAlign w:val="center"/>
          </w:tcPr>
          <w:p>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2</w:t>
            </w:r>
          </w:p>
          <w:p>
            <w:pPr>
              <w:snapToGrid w:val="0"/>
              <w:spacing w:line="340" w:lineRule="exact"/>
              <w:contextualSpacing/>
              <w:rPr>
                <w:rFonts w:eastAsia="仿宋_GB2312"/>
                <w:sz w:val="24"/>
              </w:rPr>
            </w:pPr>
            <w:r>
              <w:rPr>
                <w:rFonts w:eastAsia="仿宋_GB2312"/>
                <w:sz w:val="24"/>
              </w:rPr>
              <w:t>（30%）</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企业的数字化设备联网率</w:t>
            </w:r>
          </w:p>
          <w:p>
            <w:pPr>
              <w:snapToGrid w:val="0"/>
              <w:spacing w:line="340" w:lineRule="exact"/>
              <w:contextualSpacing/>
              <w:rPr>
                <w:rFonts w:eastAsia="仿宋_GB2312"/>
                <w:sz w:val="24"/>
              </w:rPr>
            </w:pPr>
            <w:r>
              <w:rPr>
                <w:rFonts w:eastAsia="仿宋_GB2312"/>
                <w:sz w:val="24"/>
              </w:rPr>
              <w:t>□[0-10%]</w:t>
            </w:r>
          </w:p>
          <w:p>
            <w:pPr>
              <w:snapToGrid w:val="0"/>
              <w:spacing w:line="340" w:lineRule="exact"/>
              <w:contextualSpacing/>
              <w:rPr>
                <w:rFonts w:eastAsia="仿宋_GB2312"/>
                <w:sz w:val="24"/>
              </w:rPr>
            </w:pPr>
            <w:r>
              <w:rPr>
                <w:rFonts w:eastAsia="仿宋_GB2312"/>
                <w:sz w:val="24"/>
              </w:rPr>
              <w:t>□(10%,20%]</w:t>
            </w:r>
          </w:p>
          <w:p>
            <w:pPr>
              <w:snapToGrid w:val="0"/>
              <w:spacing w:line="340" w:lineRule="exact"/>
              <w:contextualSpacing/>
              <w:rPr>
                <w:rFonts w:eastAsia="仿宋_GB2312"/>
                <w:sz w:val="24"/>
              </w:rPr>
            </w:pPr>
            <w:r>
              <w:rPr>
                <w:rFonts w:eastAsia="仿宋_GB2312"/>
                <w:sz w:val="24"/>
              </w:rPr>
              <w:t>□(20%,30%]</w:t>
            </w:r>
          </w:p>
          <w:p>
            <w:pPr>
              <w:snapToGrid w:val="0"/>
              <w:spacing w:line="340" w:lineRule="exact"/>
              <w:contextualSpacing/>
              <w:rPr>
                <w:rFonts w:eastAsia="仿宋_GB2312"/>
                <w:sz w:val="24"/>
              </w:rPr>
            </w:pPr>
            <w:r>
              <w:rPr>
                <w:rFonts w:eastAsia="仿宋_GB2312"/>
                <w:sz w:val="24"/>
              </w:rPr>
              <w:t>□(30%,40%]</w:t>
            </w:r>
          </w:p>
          <w:p>
            <w:pPr>
              <w:snapToGrid w:val="0"/>
              <w:spacing w:line="340" w:lineRule="exact"/>
              <w:contextualSpacing/>
              <w:rPr>
                <w:rFonts w:eastAsia="仿宋_GB2312"/>
                <w:sz w:val="24"/>
              </w:rPr>
            </w:pPr>
            <w:r>
              <w:rPr>
                <w:rFonts w:eastAsia="仿宋_GB2312"/>
                <w:sz w:val="24"/>
              </w:rPr>
              <w:t>□40%以上</w:t>
            </w:r>
          </w:p>
        </w:tc>
        <w:tc>
          <w:tcPr>
            <w:tcW w:w="653" w:type="dxa"/>
            <w:noWrap w:val="0"/>
            <w:vAlign w:val="center"/>
          </w:tcPr>
          <w:p>
            <w:pPr>
              <w:snapToGrid w:val="0"/>
              <w:spacing w:line="340" w:lineRule="exact"/>
              <w:contextualSpacing/>
              <w:rPr>
                <w:rFonts w:eastAsia="仿宋_GB2312"/>
                <w:sz w:val="24"/>
              </w:rPr>
            </w:pPr>
            <w:r>
              <w:rPr>
                <w:rFonts w:eastAsia="仿宋_GB2312"/>
                <w:sz w:val="24"/>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continue"/>
            <w:noWrap w:val="0"/>
            <w:vAlign w:val="center"/>
          </w:tcPr>
          <w:p>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3</w:t>
            </w:r>
          </w:p>
          <w:p>
            <w:pPr>
              <w:snapToGrid w:val="0"/>
              <w:spacing w:line="340" w:lineRule="exact"/>
              <w:contextualSpacing/>
              <w:rPr>
                <w:rFonts w:eastAsia="仿宋_GB2312"/>
                <w:sz w:val="24"/>
              </w:rPr>
            </w:pPr>
            <w:r>
              <w:rPr>
                <w:rFonts w:eastAsia="仿宋_GB2312"/>
                <w:sz w:val="24"/>
              </w:rPr>
              <w:t>（30%）</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企业的关键工序数控化率</w:t>
            </w:r>
          </w:p>
          <w:p>
            <w:pPr>
              <w:snapToGrid w:val="0"/>
              <w:spacing w:line="340" w:lineRule="exact"/>
              <w:contextualSpacing/>
              <w:rPr>
                <w:rFonts w:eastAsia="仿宋_GB2312"/>
                <w:sz w:val="24"/>
              </w:rPr>
            </w:pPr>
            <w:r>
              <w:rPr>
                <w:rFonts w:eastAsia="仿宋_GB2312"/>
                <w:sz w:val="24"/>
              </w:rPr>
              <w:t>□[0-30%]</w:t>
            </w:r>
          </w:p>
          <w:p>
            <w:pPr>
              <w:snapToGrid w:val="0"/>
              <w:spacing w:line="340" w:lineRule="exact"/>
              <w:contextualSpacing/>
              <w:rPr>
                <w:rFonts w:eastAsia="仿宋_GB2312"/>
                <w:sz w:val="24"/>
              </w:rPr>
            </w:pPr>
            <w:r>
              <w:rPr>
                <w:rFonts w:eastAsia="仿宋_GB2312"/>
                <w:sz w:val="24"/>
              </w:rPr>
              <w:t>□(30%,45%]</w:t>
            </w:r>
          </w:p>
          <w:p>
            <w:pPr>
              <w:snapToGrid w:val="0"/>
              <w:spacing w:line="340" w:lineRule="exact"/>
              <w:contextualSpacing/>
              <w:rPr>
                <w:rFonts w:eastAsia="仿宋_GB2312"/>
                <w:sz w:val="24"/>
              </w:rPr>
            </w:pPr>
            <w:r>
              <w:rPr>
                <w:rFonts w:eastAsia="仿宋_GB2312"/>
                <w:sz w:val="24"/>
              </w:rPr>
              <w:t>□(45%,60%]</w:t>
            </w:r>
          </w:p>
          <w:p>
            <w:pPr>
              <w:snapToGrid w:val="0"/>
              <w:spacing w:line="340" w:lineRule="exact"/>
              <w:contextualSpacing/>
              <w:rPr>
                <w:rFonts w:eastAsia="仿宋_GB2312"/>
                <w:sz w:val="24"/>
              </w:rPr>
            </w:pPr>
            <w:r>
              <w:rPr>
                <w:rFonts w:eastAsia="仿宋_GB2312"/>
                <w:sz w:val="24"/>
              </w:rPr>
              <w:t>□60%以上</w:t>
            </w:r>
          </w:p>
        </w:tc>
        <w:tc>
          <w:tcPr>
            <w:tcW w:w="653" w:type="dxa"/>
            <w:noWrap w:val="0"/>
            <w:vAlign w:val="center"/>
          </w:tcPr>
          <w:p>
            <w:pPr>
              <w:snapToGrid w:val="0"/>
              <w:spacing w:line="340" w:lineRule="exact"/>
              <w:contextualSpacing/>
              <w:rPr>
                <w:rFonts w:eastAsia="仿宋_GB2312"/>
                <w:sz w:val="24"/>
              </w:rPr>
            </w:pPr>
            <w:r>
              <w:rPr>
                <w:rFonts w:eastAsia="仿宋_GB2312"/>
                <w:sz w:val="24"/>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continue"/>
            <w:noWrap w:val="0"/>
            <w:vAlign w:val="center"/>
          </w:tcPr>
          <w:p>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4</w:t>
            </w:r>
          </w:p>
          <w:p>
            <w:pPr>
              <w:snapToGrid w:val="0"/>
              <w:spacing w:line="340" w:lineRule="exact"/>
              <w:contextualSpacing/>
              <w:rPr>
                <w:rFonts w:eastAsia="仿宋_GB2312"/>
                <w:sz w:val="24"/>
              </w:rPr>
            </w:pPr>
            <w:r>
              <w:rPr>
                <w:rFonts w:eastAsia="仿宋_GB2312"/>
                <w:sz w:val="24"/>
              </w:rPr>
              <w:t>（20%）</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企业通过部署工业互联网公有云/私有云/混合云平台等形式，实现业务的数字化管理情况</w:t>
            </w:r>
          </w:p>
          <w:p>
            <w:pPr>
              <w:snapToGrid w:val="0"/>
              <w:spacing w:line="340" w:lineRule="exact"/>
              <w:contextualSpacing/>
              <w:rPr>
                <w:rFonts w:eastAsia="仿宋_GB2312"/>
                <w:sz w:val="24"/>
              </w:rPr>
            </w:pPr>
            <w:r>
              <w:rPr>
                <w:rFonts w:eastAsia="仿宋_GB2312"/>
                <w:sz w:val="24"/>
              </w:rPr>
              <w:t>□单个业务环节</w:t>
            </w:r>
          </w:p>
          <w:p>
            <w:pPr>
              <w:snapToGrid w:val="0"/>
              <w:spacing w:line="340" w:lineRule="exact"/>
              <w:contextualSpacing/>
              <w:rPr>
                <w:rFonts w:eastAsia="仿宋_GB2312"/>
                <w:sz w:val="24"/>
              </w:rPr>
            </w:pPr>
            <w:r>
              <w:rPr>
                <w:rFonts w:eastAsia="仿宋_GB2312"/>
                <w:sz w:val="24"/>
              </w:rPr>
              <w:t>□关键业务环节</w:t>
            </w:r>
          </w:p>
          <w:p>
            <w:pPr>
              <w:snapToGrid w:val="0"/>
              <w:spacing w:line="340" w:lineRule="exact"/>
              <w:contextualSpacing/>
              <w:rPr>
                <w:rFonts w:eastAsia="仿宋_GB2312"/>
                <w:sz w:val="24"/>
              </w:rPr>
            </w:pPr>
            <w:r>
              <w:rPr>
                <w:rFonts w:eastAsia="仿宋_GB2312"/>
                <w:sz w:val="24"/>
              </w:rPr>
              <w:t>□绝大部分业务环节</w:t>
            </w:r>
          </w:p>
          <w:p>
            <w:pPr>
              <w:snapToGrid w:val="0"/>
              <w:spacing w:line="340" w:lineRule="exact"/>
              <w:contextualSpacing/>
              <w:rPr>
                <w:rFonts w:eastAsia="仿宋_GB2312"/>
                <w:sz w:val="24"/>
              </w:rPr>
            </w:pPr>
            <w:r>
              <w:rPr>
                <w:rFonts w:eastAsia="仿宋_GB2312"/>
                <w:sz w:val="24"/>
              </w:rPr>
              <w:t>□全覆盖</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restart"/>
            <w:noWrap w:val="0"/>
            <w:vAlign w:val="center"/>
          </w:tcPr>
          <w:p>
            <w:pPr>
              <w:snapToGrid w:val="0"/>
              <w:spacing w:line="340" w:lineRule="exact"/>
              <w:contextualSpacing/>
              <w:rPr>
                <w:rFonts w:eastAsia="仿宋_GB2312"/>
                <w:sz w:val="24"/>
              </w:rPr>
            </w:pPr>
            <w:r>
              <w:rPr>
                <w:rFonts w:eastAsia="仿宋_GB2312"/>
                <w:sz w:val="24"/>
              </w:rPr>
              <w:t>数据</w:t>
            </w:r>
          </w:p>
          <w:p>
            <w:pPr>
              <w:snapToGrid w:val="0"/>
              <w:spacing w:line="340" w:lineRule="exact"/>
              <w:contextualSpacing/>
              <w:rPr>
                <w:rFonts w:eastAsia="仿宋_GB2312"/>
                <w:sz w:val="24"/>
              </w:rPr>
            </w:pPr>
            <w:r>
              <w:rPr>
                <w:rFonts w:eastAsia="仿宋_GB2312"/>
                <w:sz w:val="24"/>
              </w:rPr>
              <w:t>资源</w:t>
            </w:r>
          </w:p>
          <w:p>
            <w:pPr>
              <w:snapToGrid w:val="0"/>
              <w:spacing w:line="340" w:lineRule="exact"/>
              <w:contextualSpacing/>
              <w:rPr>
                <w:rFonts w:eastAsia="仿宋_GB2312"/>
                <w:sz w:val="24"/>
              </w:rPr>
            </w:pPr>
            <w:r>
              <w:rPr>
                <w:rFonts w:eastAsia="仿宋_GB2312"/>
                <w:sz w:val="24"/>
              </w:rPr>
              <w:t>（</w:t>
            </w:r>
            <w:r>
              <w:rPr>
                <w:rFonts w:eastAsia="仿宋_GB2312"/>
                <w:kern w:val="0"/>
                <w:sz w:val="24"/>
              </w:rPr>
              <w:t>30%）</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5</w:t>
            </w:r>
          </w:p>
          <w:p>
            <w:pPr>
              <w:snapToGrid w:val="0"/>
              <w:spacing w:line="340" w:lineRule="exact"/>
              <w:contextualSpacing/>
              <w:rPr>
                <w:rFonts w:eastAsia="仿宋_GB2312"/>
                <w:sz w:val="24"/>
              </w:rPr>
            </w:pPr>
            <w:r>
              <w:rPr>
                <w:rFonts w:eastAsia="仿宋_GB2312"/>
                <w:sz w:val="24"/>
              </w:rPr>
              <w:t>（60%）</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企业实现数据自动/半自动获取并展示的业务环节覆盖范围</w:t>
            </w:r>
          </w:p>
          <w:p>
            <w:pPr>
              <w:snapToGrid w:val="0"/>
              <w:spacing w:line="340" w:lineRule="exact"/>
              <w:contextualSpacing/>
              <w:rPr>
                <w:rFonts w:eastAsia="仿宋_GB2312"/>
                <w:sz w:val="24"/>
              </w:rPr>
            </w:pPr>
            <w:r>
              <w:rPr>
                <w:rFonts w:eastAsia="仿宋_GB2312"/>
                <w:sz w:val="24"/>
              </w:rPr>
              <w:t>□研发设计□生产管控□质量控制□仓储配送（厂内）□设备管理□采购□销售□物流（厂外）□财务□人力□以上均无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continue"/>
            <w:noWrap w:val="0"/>
            <w:vAlign w:val="center"/>
          </w:tcPr>
          <w:p>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6</w:t>
            </w:r>
          </w:p>
          <w:p>
            <w:pPr>
              <w:snapToGrid w:val="0"/>
              <w:spacing w:line="340" w:lineRule="exact"/>
              <w:contextualSpacing/>
              <w:rPr>
                <w:rFonts w:eastAsia="仿宋_GB2312"/>
                <w:sz w:val="24"/>
              </w:rPr>
            </w:pPr>
            <w:r>
              <w:rPr>
                <w:rFonts w:eastAsia="仿宋_GB2312"/>
                <w:sz w:val="24"/>
              </w:rPr>
              <w:t>（40%）</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企业实现各类数据汇聚及应用的情况</w:t>
            </w:r>
          </w:p>
          <w:p>
            <w:pPr>
              <w:snapToGrid w:val="0"/>
              <w:spacing w:line="340" w:lineRule="exact"/>
              <w:contextualSpacing/>
              <w:rPr>
                <w:rFonts w:eastAsia="仿宋_GB2312"/>
                <w:sz w:val="24"/>
              </w:rPr>
            </w:pPr>
            <w:r>
              <w:rPr>
                <w:rFonts w:eastAsia="仿宋_GB2312"/>
                <w:sz w:val="24"/>
              </w:rPr>
              <w:t>□建立了统一的数据编码、数据交换格式和规则等</w:t>
            </w:r>
          </w:p>
          <w:p>
            <w:pPr>
              <w:snapToGrid w:val="0"/>
              <w:spacing w:line="340" w:lineRule="exact"/>
              <w:contextualSpacing/>
              <w:rPr>
                <w:rFonts w:eastAsia="仿宋_GB2312"/>
                <w:sz w:val="24"/>
              </w:rPr>
            </w:pPr>
            <w:r>
              <w:rPr>
                <w:rFonts w:eastAsia="仿宋_GB2312"/>
                <w:sz w:val="24"/>
              </w:rPr>
              <w:t>□实现了数据及分析结果的跨部门共享</w:t>
            </w:r>
          </w:p>
          <w:p>
            <w:pPr>
              <w:snapToGrid w:val="0"/>
              <w:spacing w:line="340" w:lineRule="exact"/>
              <w:contextualSpacing/>
              <w:rPr>
                <w:rFonts w:eastAsia="仿宋_GB2312"/>
                <w:sz w:val="24"/>
              </w:rPr>
            </w:pPr>
            <w:r>
              <w:rPr>
                <w:rFonts w:eastAsia="仿宋_GB2312"/>
                <w:sz w:val="24"/>
              </w:rPr>
              <w:t>□构建了数据算法模型，支撑业务人员进行数据分析</w:t>
            </w:r>
          </w:p>
          <w:p>
            <w:pPr>
              <w:snapToGrid w:val="0"/>
              <w:spacing w:line="340" w:lineRule="exact"/>
              <w:contextualSpacing/>
              <w:rPr>
                <w:rFonts w:eastAsia="仿宋_GB2312"/>
                <w:sz w:val="24"/>
              </w:rPr>
            </w:pPr>
            <w:r>
              <w:rPr>
                <w:rFonts w:eastAsia="仿宋_GB2312"/>
                <w:sz w:val="24"/>
              </w:rPr>
              <w:t>□构建了可视化数据分析工具</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noWrap w:val="0"/>
            <w:vAlign w:val="center"/>
          </w:tcPr>
          <w:p>
            <w:pPr>
              <w:snapToGrid w:val="0"/>
              <w:spacing w:line="340" w:lineRule="exact"/>
              <w:contextualSpacing/>
              <w:rPr>
                <w:rFonts w:eastAsia="仿宋_GB2312"/>
                <w:sz w:val="24"/>
              </w:rPr>
            </w:pPr>
            <w:r>
              <w:rPr>
                <w:rFonts w:eastAsia="仿宋_GB2312"/>
                <w:sz w:val="24"/>
              </w:rPr>
              <w:t>网络</w:t>
            </w:r>
          </w:p>
          <w:p>
            <w:pPr>
              <w:snapToGrid w:val="0"/>
              <w:spacing w:line="340" w:lineRule="exact"/>
              <w:contextualSpacing/>
              <w:rPr>
                <w:rFonts w:eastAsia="仿宋_GB2312"/>
                <w:sz w:val="24"/>
              </w:rPr>
            </w:pPr>
            <w:r>
              <w:rPr>
                <w:rFonts w:eastAsia="仿宋_GB2312"/>
                <w:sz w:val="24"/>
              </w:rPr>
              <w:t>安全</w:t>
            </w:r>
          </w:p>
          <w:p>
            <w:pPr>
              <w:snapToGrid w:val="0"/>
              <w:spacing w:line="340" w:lineRule="exact"/>
              <w:contextualSpacing/>
              <w:rPr>
                <w:rFonts w:eastAsia="仿宋_GB2312"/>
                <w:sz w:val="24"/>
              </w:rPr>
            </w:pPr>
            <w:r>
              <w:rPr>
                <w:rFonts w:eastAsia="仿宋_GB2312"/>
                <w:sz w:val="24"/>
              </w:rPr>
              <w:t>（</w:t>
            </w:r>
            <w:r>
              <w:rPr>
                <w:rFonts w:eastAsia="仿宋_GB2312"/>
                <w:kern w:val="0"/>
                <w:sz w:val="24"/>
              </w:rPr>
              <w:t>30%）</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7</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企业在保障网络安全方面采取的举措情况</w:t>
            </w:r>
          </w:p>
          <w:p>
            <w:pPr>
              <w:snapToGrid w:val="0"/>
              <w:spacing w:line="340" w:lineRule="exact"/>
              <w:contextualSpacing/>
              <w:rPr>
                <w:rFonts w:eastAsia="仿宋_GB2312"/>
                <w:sz w:val="24"/>
              </w:rPr>
            </w:pPr>
            <w:r>
              <w:rPr>
                <w:rFonts w:eastAsia="仿宋_GB2312"/>
                <w:sz w:val="24"/>
              </w:rPr>
              <w:t>□使用了工业级网络安全产品及服务，尚未建立网络安全保障制度</w:t>
            </w:r>
          </w:p>
          <w:p>
            <w:pPr>
              <w:snapToGrid w:val="0"/>
              <w:spacing w:line="340" w:lineRule="exact"/>
              <w:contextualSpacing/>
              <w:rPr>
                <w:rFonts w:eastAsia="仿宋_GB2312"/>
                <w:sz w:val="24"/>
              </w:rPr>
            </w:pPr>
            <w:r>
              <w:rPr>
                <w:rFonts w:eastAsia="仿宋_GB2312"/>
                <w:sz w:val="24"/>
              </w:rPr>
              <w:t>□建立了网络安全保障制度，尚未开展网络安全等级自评估</w:t>
            </w:r>
          </w:p>
          <w:p>
            <w:pPr>
              <w:snapToGrid w:val="0"/>
              <w:spacing w:line="340" w:lineRule="exact"/>
              <w:contextualSpacing/>
              <w:rPr>
                <w:rFonts w:eastAsia="仿宋_GB2312"/>
                <w:sz w:val="24"/>
              </w:rPr>
            </w:pPr>
            <w:r>
              <w:rPr>
                <w:rFonts w:eastAsia="仿宋_GB2312"/>
                <w:sz w:val="24"/>
              </w:rPr>
              <w:t>□开展了网络安全等级自评估，尚未通过第三方机构的验收认定</w:t>
            </w:r>
          </w:p>
          <w:p>
            <w:pPr>
              <w:snapToGrid w:val="0"/>
              <w:spacing w:line="340" w:lineRule="exact"/>
              <w:contextualSpacing/>
              <w:rPr>
                <w:rFonts w:eastAsia="仿宋_GB2312"/>
                <w:sz w:val="24"/>
              </w:rPr>
            </w:pPr>
            <w:r>
              <w:rPr>
                <w:rFonts w:eastAsia="仿宋_GB2312"/>
                <w:sz w:val="24"/>
              </w:rPr>
              <w:t>□网络安全等级评估通过了第三方机构的验收认定</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restart"/>
            <w:noWrap w:val="0"/>
            <w:vAlign w:val="center"/>
          </w:tcPr>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snapToGrid w:val="0"/>
              <w:spacing w:line="340" w:lineRule="exact"/>
              <w:contextualSpacing/>
              <w:rPr>
                <w:rFonts w:eastAsia="仿宋_GB2312"/>
                <w:sz w:val="24"/>
              </w:rPr>
            </w:pPr>
            <w:r>
              <w:rPr>
                <w:rFonts w:eastAsia="仿宋_GB2312"/>
                <w:sz w:val="24"/>
              </w:rPr>
              <w:t>二、数字化经营（45%）</w:t>
            </w: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snapToGrid w:val="0"/>
              <w:spacing w:line="340" w:lineRule="exact"/>
              <w:contextualSpacing/>
              <w:rPr>
                <w:rFonts w:eastAsia="仿宋_GB2312"/>
                <w:sz w:val="24"/>
              </w:rPr>
            </w:pPr>
            <w:r>
              <w:rPr>
                <w:rFonts w:eastAsia="仿宋_GB2312"/>
                <w:sz w:val="24"/>
              </w:rPr>
              <w:t>二、数字化经营（45%）</w:t>
            </w: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snapToGrid w:val="0"/>
              <w:spacing w:line="340" w:lineRule="exact"/>
              <w:contextualSpacing/>
              <w:rPr>
                <w:rFonts w:eastAsia="仿宋_GB2312"/>
                <w:kern w:val="0"/>
                <w:sz w:val="24"/>
              </w:rPr>
            </w:pPr>
            <w:r>
              <w:rPr>
                <w:rFonts w:eastAsia="仿宋_GB2312"/>
                <w:sz w:val="24"/>
              </w:rPr>
              <w:t>二、数字化经营（</w:t>
            </w:r>
            <w:r>
              <w:rPr>
                <w:rFonts w:eastAsia="仿宋_GB2312"/>
                <w:kern w:val="0"/>
                <w:sz w:val="24"/>
              </w:rPr>
              <w:t>45%）</w:t>
            </w: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snapToGrid w:val="0"/>
              <w:spacing w:line="340" w:lineRule="exact"/>
              <w:contextualSpacing/>
              <w:rPr>
                <w:rFonts w:eastAsia="仿宋_GB2312"/>
                <w:sz w:val="24"/>
              </w:rPr>
            </w:pPr>
            <w:r>
              <w:rPr>
                <w:rFonts w:eastAsia="仿宋_GB2312"/>
                <w:sz w:val="24"/>
              </w:rPr>
              <w:t>二、数字化经营（45%）</w:t>
            </w: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eastAsia="仿宋_GB2312"/>
                <w:sz w:val="24"/>
              </w:rPr>
              <w:t>二、</w:t>
            </w:r>
          </w:p>
          <w:p>
            <w:pPr>
              <w:snapToGrid w:val="0"/>
              <w:spacing w:line="340" w:lineRule="exact"/>
              <w:contextualSpacing/>
              <w:rPr>
                <w:rFonts w:eastAsia="仿宋_GB2312"/>
                <w:sz w:val="24"/>
              </w:rPr>
            </w:pPr>
            <w:r>
              <w:rPr>
                <w:rFonts w:eastAsia="仿宋_GB2312"/>
                <w:sz w:val="24"/>
              </w:rPr>
              <w:t>数字化经营</w:t>
            </w:r>
          </w:p>
          <w:p>
            <w:pPr>
              <w:snapToGrid w:val="0"/>
              <w:spacing w:line="340" w:lineRule="exact"/>
              <w:contextualSpacing/>
              <w:rPr>
                <w:rFonts w:eastAsia="仿宋_GB2312"/>
                <w:kern w:val="0"/>
                <w:sz w:val="24"/>
              </w:rPr>
            </w:pPr>
            <w:r>
              <w:rPr>
                <w:rFonts w:eastAsia="仿宋_GB2312"/>
                <w:sz w:val="24"/>
              </w:rPr>
              <w:t>（</w:t>
            </w:r>
            <w:r>
              <w:rPr>
                <w:rFonts w:eastAsia="仿宋_GB2312"/>
                <w:kern w:val="0"/>
                <w:sz w:val="24"/>
              </w:rPr>
              <w:t>45%）</w:t>
            </w: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kern w:val="0"/>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eastAsia="仿宋_GB2312"/>
                <w:sz w:val="24"/>
              </w:rPr>
              <w:t>二、</w:t>
            </w:r>
          </w:p>
          <w:p>
            <w:pPr>
              <w:snapToGrid w:val="0"/>
              <w:spacing w:line="340" w:lineRule="exact"/>
              <w:contextualSpacing/>
              <w:rPr>
                <w:rFonts w:eastAsia="仿宋_GB2312"/>
                <w:sz w:val="24"/>
              </w:rPr>
            </w:pPr>
            <w:r>
              <w:rPr>
                <w:rFonts w:eastAsia="仿宋_GB2312"/>
                <w:sz w:val="24"/>
              </w:rPr>
              <w:t>数字化经营</w:t>
            </w:r>
          </w:p>
          <w:p>
            <w:pPr>
              <w:widowControl w:val="0"/>
              <w:spacing w:before="100" w:line="340" w:lineRule="exact"/>
              <w:jc w:val="both"/>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2"/>
                <w:sz w:val="24"/>
                <w:szCs w:val="24"/>
                <w:lang w:val="en-US" w:eastAsia="zh-CN" w:bidi="ar-SA"/>
              </w:rPr>
              <w:t>（</w:t>
            </w:r>
            <w:r>
              <w:rPr>
                <w:rFonts w:ascii="Times New Roman" w:hAnsi="Times New Roman" w:eastAsia="仿宋_GB2312" w:cs="Times New Roman"/>
                <w:kern w:val="0"/>
                <w:sz w:val="24"/>
                <w:szCs w:val="24"/>
                <w:lang w:val="en-US" w:eastAsia="zh-CN" w:bidi="ar-SA"/>
              </w:rPr>
              <w:t>45%）</w:t>
            </w:r>
          </w:p>
          <w:p>
            <w:pPr>
              <w:widowControl w:val="0"/>
              <w:spacing w:before="100" w:line="340" w:lineRule="exact"/>
              <w:jc w:val="both"/>
              <w:rPr>
                <w:rFonts w:ascii="Times New Roman" w:hAnsi="Times New Roman" w:eastAsia="仿宋_GB2312" w:cs="Times New Roman"/>
                <w:kern w:val="0"/>
                <w:sz w:val="24"/>
                <w:szCs w:val="24"/>
                <w:lang w:val="en-US" w:eastAsia="zh-CN" w:bidi="ar-SA"/>
              </w:rPr>
            </w:pPr>
          </w:p>
        </w:tc>
        <w:tc>
          <w:tcPr>
            <w:tcW w:w="1623" w:type="dxa"/>
            <w:noWrap w:val="0"/>
            <w:vAlign w:val="center"/>
          </w:tcPr>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eastAsia="仿宋_GB2312"/>
                <w:sz w:val="24"/>
              </w:rPr>
              <w:t>研发</w:t>
            </w:r>
          </w:p>
          <w:p>
            <w:pPr>
              <w:snapToGrid w:val="0"/>
              <w:spacing w:line="340" w:lineRule="exact"/>
              <w:contextualSpacing/>
              <w:rPr>
                <w:rFonts w:eastAsia="仿宋_GB2312"/>
                <w:sz w:val="24"/>
              </w:rPr>
            </w:pPr>
            <w:r>
              <w:rPr>
                <w:rFonts w:eastAsia="仿宋_GB2312"/>
                <w:sz w:val="24"/>
              </w:rPr>
              <w:t>设计</w:t>
            </w:r>
          </w:p>
          <w:p>
            <w:pPr>
              <w:snapToGrid w:val="0"/>
              <w:spacing w:line="340" w:lineRule="exact"/>
              <w:contextualSpacing/>
              <w:rPr>
                <w:rFonts w:eastAsia="仿宋_GB2312"/>
                <w:sz w:val="24"/>
              </w:rPr>
            </w:pPr>
            <w:r>
              <w:rPr>
                <w:rFonts w:eastAsia="仿宋_GB2312"/>
                <w:sz w:val="24"/>
              </w:rPr>
              <w:t>（</w:t>
            </w:r>
            <w:r>
              <w:rPr>
                <w:rFonts w:eastAsia="仿宋_GB2312"/>
                <w:kern w:val="0"/>
                <w:sz w:val="24"/>
              </w:rPr>
              <w:t>14%）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8</w:t>
            </w:r>
          </w:p>
        </w:tc>
        <w:tc>
          <w:tcPr>
            <w:tcW w:w="7507" w:type="dxa"/>
            <w:noWrap w:val="0"/>
            <w:vAlign w:val="center"/>
          </w:tcPr>
          <w:p>
            <w:pPr>
              <w:snapToGrid w:val="0"/>
              <w:spacing w:line="340" w:lineRule="exact"/>
              <w:contextualSpacing/>
              <w:rPr>
                <w:rFonts w:eastAsia="仿宋_GB2312"/>
                <w:sz w:val="24"/>
              </w:rPr>
            </w:pPr>
            <w:r>
              <w:rPr>
                <w:rFonts w:eastAsia="仿宋_GB2312"/>
                <w:sz w:val="24"/>
              </w:rPr>
              <w:t>研发设计环节，企业开展数字化研发设计的情况</w:t>
            </w:r>
          </w:p>
          <w:p>
            <w:pPr>
              <w:snapToGrid w:val="0"/>
              <w:spacing w:line="340" w:lineRule="exact"/>
              <w:contextualSpacing/>
              <w:rPr>
                <w:rFonts w:eastAsia="仿宋_GB2312"/>
                <w:sz w:val="24"/>
              </w:rPr>
            </w:pPr>
            <w:r>
              <w:rPr>
                <w:rFonts w:eastAsia="仿宋_GB2312"/>
                <w:sz w:val="24"/>
              </w:rPr>
              <w:t>（50%以上关键业务研发设计项目实现下列数字化场景即可勾选该项）</w:t>
            </w:r>
          </w:p>
          <w:p>
            <w:pPr>
              <w:snapToGrid w:val="0"/>
              <w:spacing w:line="340" w:lineRule="exact"/>
              <w:contextualSpacing/>
              <w:rPr>
                <w:rFonts w:eastAsia="仿宋_GB2312"/>
                <w:sz w:val="24"/>
              </w:rPr>
            </w:pPr>
            <w:r>
              <w:rPr>
                <w:rFonts w:eastAsia="仿宋_GB2312"/>
                <w:sz w:val="24"/>
              </w:rPr>
              <w:t>□应用二维、三维计算机设计软件辅助开展设计工作</w:t>
            </w:r>
          </w:p>
          <w:p>
            <w:pPr>
              <w:snapToGrid w:val="0"/>
              <w:spacing w:line="340" w:lineRule="exact"/>
              <w:contextualSpacing/>
              <w:rPr>
                <w:rFonts w:eastAsia="仿宋_GB2312"/>
                <w:sz w:val="24"/>
              </w:rPr>
            </w:pPr>
            <w:r>
              <w:rPr>
                <w:rFonts w:eastAsia="仿宋_GB2312"/>
                <w:sz w:val="24"/>
              </w:rPr>
              <w:t>□使用PDM或PLM等软件实现文档、数据、流程等的共享和统一管理</w:t>
            </w:r>
          </w:p>
          <w:p>
            <w:pPr>
              <w:snapToGrid w:val="0"/>
              <w:spacing w:line="340" w:lineRule="exact"/>
              <w:contextualSpacing/>
              <w:rPr>
                <w:rFonts w:eastAsia="仿宋_GB2312"/>
                <w:sz w:val="24"/>
              </w:rPr>
            </w:pPr>
            <w:r>
              <w:rPr>
                <w:rFonts w:eastAsia="仿宋_GB2312"/>
                <w:sz w:val="24"/>
              </w:rPr>
              <w:t>□建设和应用产品设计标准库、组件库或知识库</w:t>
            </w:r>
          </w:p>
          <w:p>
            <w:pPr>
              <w:snapToGrid w:val="0"/>
              <w:spacing w:line="340" w:lineRule="exact"/>
              <w:contextualSpacing/>
              <w:rPr>
                <w:rFonts w:eastAsia="仿宋_GB2312"/>
                <w:sz w:val="24"/>
              </w:rPr>
            </w:pPr>
            <w:r>
              <w:rPr>
                <w:rFonts w:eastAsia="仿宋_GB2312"/>
                <w:sz w:val="24"/>
              </w:rPr>
              <w:t>□将产品设计信息集成于产品的数字化模型中，实现产品设计数据的唯一性</w:t>
            </w:r>
          </w:p>
          <w:p>
            <w:pPr>
              <w:snapToGrid w:val="0"/>
              <w:spacing w:line="340" w:lineRule="exact"/>
              <w:contextualSpacing/>
              <w:rPr>
                <w:rFonts w:eastAsia="仿宋_GB2312"/>
                <w:sz w:val="24"/>
              </w:rPr>
            </w:pPr>
            <w:r>
              <w:rPr>
                <w:rFonts w:eastAsia="仿宋_GB2312"/>
                <w:sz w:val="24"/>
              </w:rPr>
              <w:t>□实现产品设计和工艺设计间的信息交互和并行协同</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restart"/>
            <w:noWrap w:val="0"/>
            <w:vAlign w:val="center"/>
          </w:tcPr>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eastAsia="仿宋_GB2312"/>
                <w:sz w:val="24"/>
              </w:rPr>
              <w:t>生产</w:t>
            </w:r>
          </w:p>
          <w:p>
            <w:pPr>
              <w:snapToGrid w:val="0"/>
              <w:spacing w:line="340" w:lineRule="exact"/>
              <w:contextualSpacing/>
              <w:rPr>
                <w:rFonts w:eastAsia="仿宋_GB2312"/>
                <w:sz w:val="24"/>
              </w:rPr>
            </w:pPr>
            <w:r>
              <w:rPr>
                <w:rFonts w:eastAsia="仿宋_GB2312"/>
                <w:sz w:val="24"/>
              </w:rPr>
              <w:t>管控</w:t>
            </w:r>
          </w:p>
          <w:p>
            <w:pPr>
              <w:snapToGrid w:val="0"/>
              <w:spacing w:line="340" w:lineRule="exact"/>
              <w:contextualSpacing/>
              <w:rPr>
                <w:rFonts w:eastAsia="仿宋_GB2312"/>
                <w:sz w:val="24"/>
              </w:rPr>
            </w:pPr>
            <w:r>
              <w:rPr>
                <w:rFonts w:eastAsia="仿宋_GB2312"/>
                <w:sz w:val="24"/>
              </w:rPr>
              <w:t>（42%）</w:t>
            </w: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eastAsia="仿宋_GB2312"/>
                <w:sz w:val="24"/>
              </w:rPr>
              <w:t>生产</w:t>
            </w:r>
          </w:p>
          <w:p>
            <w:pPr>
              <w:snapToGrid w:val="0"/>
              <w:spacing w:line="340" w:lineRule="exact"/>
              <w:contextualSpacing/>
              <w:rPr>
                <w:rFonts w:eastAsia="仿宋_GB2312"/>
                <w:sz w:val="24"/>
              </w:rPr>
            </w:pPr>
            <w:r>
              <w:rPr>
                <w:rFonts w:eastAsia="仿宋_GB2312"/>
                <w:sz w:val="24"/>
              </w:rPr>
              <w:t>管控</w:t>
            </w:r>
          </w:p>
          <w:p>
            <w:pPr>
              <w:widowControl w:val="0"/>
              <w:spacing w:before="100" w:line="340" w:lineRule="exact"/>
              <w:jc w:val="both"/>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2"/>
                <w:sz w:val="24"/>
                <w:szCs w:val="24"/>
                <w:lang w:val="en-US" w:eastAsia="zh-CN" w:bidi="ar-SA"/>
              </w:rPr>
              <w:t>（</w:t>
            </w:r>
            <w:r>
              <w:rPr>
                <w:rFonts w:ascii="Times New Roman" w:hAnsi="Times New Roman" w:eastAsia="仿宋_GB2312" w:cs="Times New Roman"/>
                <w:kern w:val="0"/>
                <w:sz w:val="24"/>
                <w:szCs w:val="24"/>
                <w:lang w:val="en-US" w:eastAsia="zh-CN" w:bidi="ar-SA"/>
              </w:rPr>
              <w:t>42%）</w:t>
            </w: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p>
            <w:pPr>
              <w:widowControl w:val="0"/>
              <w:spacing w:before="100" w:line="340" w:lineRule="exact"/>
              <w:jc w:val="both"/>
              <w:rPr>
                <w:rFonts w:ascii="Times New Roman" w:hAnsi="Times New Roman" w:eastAsia="仿宋_GB2312" w:cs="Times New Roman"/>
                <w:kern w:val="0"/>
                <w:sz w:val="24"/>
                <w:szCs w:val="24"/>
                <w:lang w:val="en-US" w:eastAsia="zh-CN" w:bidi="ar-SA"/>
              </w:rPr>
            </w:pP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9</w:t>
            </w:r>
          </w:p>
          <w:p>
            <w:pPr>
              <w:snapToGrid w:val="0"/>
              <w:spacing w:line="340" w:lineRule="exact"/>
              <w:contextualSpacing/>
              <w:rPr>
                <w:rFonts w:eastAsia="仿宋_GB2312"/>
                <w:sz w:val="24"/>
              </w:rPr>
            </w:pPr>
            <w:r>
              <w:rPr>
                <w:rFonts w:eastAsia="仿宋_GB2312"/>
                <w:sz w:val="24"/>
              </w:rPr>
              <w:t>（20%）</w:t>
            </w:r>
          </w:p>
        </w:tc>
        <w:tc>
          <w:tcPr>
            <w:tcW w:w="7507" w:type="dxa"/>
            <w:noWrap w:val="0"/>
            <w:vAlign w:val="center"/>
          </w:tcPr>
          <w:p>
            <w:pPr>
              <w:snapToGrid w:val="0"/>
              <w:spacing w:line="340" w:lineRule="exact"/>
              <w:contextualSpacing/>
              <w:rPr>
                <w:rFonts w:eastAsia="仿宋_GB2312"/>
                <w:sz w:val="24"/>
              </w:rPr>
            </w:pPr>
            <w:r>
              <w:rPr>
                <w:rFonts w:eastAsia="仿宋_GB2312"/>
                <w:sz w:val="24"/>
              </w:rPr>
              <w:t>生产计划环节，企业实现生产计划排产排程的情况</w:t>
            </w:r>
          </w:p>
          <w:p>
            <w:pPr>
              <w:snapToGrid w:val="0"/>
              <w:spacing w:line="340" w:lineRule="exact"/>
              <w:contextualSpacing/>
              <w:rPr>
                <w:rFonts w:eastAsia="仿宋_GB2312"/>
                <w:sz w:val="24"/>
              </w:rPr>
            </w:pPr>
            <w:r>
              <w:rPr>
                <w:rFonts w:eastAsia="仿宋_GB2312"/>
                <w:sz w:val="24"/>
              </w:rPr>
              <w:t>□通过信息系统实现具有约束条件的主生产计划生产和物料需求计算</w:t>
            </w:r>
          </w:p>
          <w:p>
            <w:pPr>
              <w:snapToGrid w:val="0"/>
              <w:spacing w:line="340" w:lineRule="exact"/>
              <w:contextualSpacing/>
              <w:rPr>
                <w:rFonts w:eastAsia="仿宋_GB2312"/>
                <w:sz w:val="24"/>
              </w:rPr>
            </w:pPr>
            <w:r>
              <w:rPr>
                <w:rFonts w:eastAsia="仿宋_GB2312"/>
                <w:sz w:val="24"/>
              </w:rPr>
              <w:t>□通过信息系统开展车间计划排产</w:t>
            </w:r>
          </w:p>
          <w:p>
            <w:pPr>
              <w:snapToGrid w:val="0"/>
              <w:spacing w:line="340" w:lineRule="exact"/>
              <w:contextualSpacing/>
              <w:rPr>
                <w:rFonts w:eastAsia="仿宋_GB2312"/>
                <w:sz w:val="24"/>
              </w:rPr>
            </w:pPr>
            <w:r>
              <w:rPr>
                <w:rFonts w:eastAsia="仿宋_GB2312"/>
                <w:sz w:val="24"/>
              </w:rPr>
              <w:t>□部分车间生产计划实现自动排产</w:t>
            </w:r>
          </w:p>
          <w:p>
            <w:pPr>
              <w:snapToGrid w:val="0"/>
              <w:spacing w:line="340" w:lineRule="exact"/>
              <w:contextualSpacing/>
              <w:rPr>
                <w:rFonts w:eastAsia="仿宋_GB2312"/>
                <w:sz w:val="24"/>
              </w:rPr>
            </w:pPr>
            <w:r>
              <w:rPr>
                <w:rFonts w:eastAsia="仿宋_GB2312"/>
                <w:sz w:val="24"/>
              </w:rPr>
              <w:t>□全部车间生产计划实现自动排产</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continue"/>
            <w:noWrap w:val="0"/>
            <w:vAlign w:val="center"/>
          </w:tcPr>
          <w:p>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10</w:t>
            </w:r>
          </w:p>
          <w:p>
            <w:pPr>
              <w:snapToGrid w:val="0"/>
              <w:spacing w:line="340" w:lineRule="exact"/>
              <w:contextualSpacing/>
              <w:rPr>
                <w:rFonts w:eastAsia="仿宋_GB2312"/>
                <w:sz w:val="24"/>
              </w:rPr>
            </w:pPr>
            <w:r>
              <w:rPr>
                <w:rFonts w:eastAsia="仿宋_GB2312"/>
                <w:sz w:val="24"/>
              </w:rPr>
              <w:t>（10%）</w:t>
            </w:r>
          </w:p>
        </w:tc>
        <w:tc>
          <w:tcPr>
            <w:tcW w:w="7507" w:type="dxa"/>
            <w:noWrap w:val="0"/>
            <w:vAlign w:val="center"/>
          </w:tcPr>
          <w:p>
            <w:pPr>
              <w:snapToGrid w:val="0"/>
              <w:spacing w:line="340" w:lineRule="exact"/>
              <w:contextualSpacing/>
              <w:rPr>
                <w:rFonts w:eastAsia="仿宋_GB2312"/>
                <w:sz w:val="24"/>
              </w:rPr>
            </w:pPr>
            <w:r>
              <w:rPr>
                <w:rFonts w:eastAsia="仿宋_GB2312"/>
                <w:sz w:val="24"/>
              </w:rPr>
              <w:t>生产监控环节，企业利用信息系统实现生产过程监控的情况</w:t>
            </w:r>
          </w:p>
          <w:p>
            <w:pPr>
              <w:snapToGrid w:val="0"/>
              <w:spacing w:line="340" w:lineRule="exact"/>
              <w:contextualSpacing/>
              <w:rPr>
                <w:rFonts w:eastAsia="仿宋_GB2312"/>
                <w:sz w:val="24"/>
              </w:rPr>
            </w:pPr>
            <w:r>
              <w:rPr>
                <w:rFonts w:eastAsia="仿宋_GB2312"/>
                <w:sz w:val="24"/>
              </w:rPr>
              <w:t>□设备：能够在一种或多种单个设备层面实现生产过程监控</w:t>
            </w:r>
          </w:p>
          <w:p>
            <w:pPr>
              <w:snapToGrid w:val="0"/>
              <w:spacing w:line="340" w:lineRule="exact"/>
              <w:contextualSpacing/>
              <w:rPr>
                <w:rFonts w:eastAsia="仿宋_GB2312"/>
                <w:sz w:val="24"/>
              </w:rPr>
            </w:pPr>
            <w:r>
              <w:rPr>
                <w:rFonts w:eastAsia="仿宋_GB2312"/>
                <w:sz w:val="24"/>
              </w:rPr>
              <w:t>□工序：能够在一道或多道工序层面实现生产过程监控。</w:t>
            </w:r>
          </w:p>
          <w:p>
            <w:pPr>
              <w:snapToGrid w:val="0"/>
              <w:spacing w:line="340" w:lineRule="exact"/>
              <w:contextualSpacing/>
              <w:rPr>
                <w:rFonts w:eastAsia="仿宋_GB2312"/>
                <w:sz w:val="24"/>
              </w:rPr>
            </w:pPr>
            <w:r>
              <w:rPr>
                <w:rFonts w:eastAsia="仿宋_GB2312"/>
                <w:sz w:val="24"/>
              </w:rPr>
              <w:t>□生产线：能够在一条或多条生产线层面实现生产过程监控</w:t>
            </w:r>
          </w:p>
          <w:p>
            <w:pPr>
              <w:snapToGrid w:val="0"/>
              <w:spacing w:line="340" w:lineRule="exact"/>
              <w:contextualSpacing/>
              <w:rPr>
                <w:rFonts w:eastAsia="仿宋_GB2312"/>
                <w:sz w:val="24"/>
              </w:rPr>
            </w:pPr>
            <w:r>
              <w:rPr>
                <w:rFonts w:eastAsia="仿宋_GB2312"/>
                <w:sz w:val="24"/>
              </w:rPr>
              <w:t>□车间：能够在一个或多个车间层面实现生产过程监控。</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continue"/>
            <w:noWrap w:val="0"/>
            <w:vAlign w:val="center"/>
          </w:tcPr>
          <w:p>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11</w:t>
            </w:r>
          </w:p>
          <w:p>
            <w:pPr>
              <w:snapToGrid w:val="0"/>
              <w:spacing w:line="340" w:lineRule="exact"/>
              <w:contextualSpacing/>
              <w:rPr>
                <w:rFonts w:eastAsia="仿宋_GB2312"/>
                <w:sz w:val="24"/>
              </w:rPr>
            </w:pPr>
            <w:r>
              <w:rPr>
                <w:rFonts w:eastAsia="仿宋_GB2312"/>
                <w:sz w:val="24"/>
              </w:rPr>
              <w:t>（30%）</w:t>
            </w:r>
          </w:p>
        </w:tc>
        <w:tc>
          <w:tcPr>
            <w:tcW w:w="7507" w:type="dxa"/>
            <w:noWrap w:val="0"/>
            <w:vAlign w:val="center"/>
          </w:tcPr>
          <w:p>
            <w:pPr>
              <w:snapToGrid w:val="0"/>
              <w:spacing w:line="340" w:lineRule="exact"/>
              <w:contextualSpacing/>
              <w:rPr>
                <w:rFonts w:eastAsia="仿宋_GB2312"/>
                <w:sz w:val="24"/>
              </w:rPr>
            </w:pPr>
            <w:r>
              <w:rPr>
                <w:rFonts w:eastAsia="仿宋_GB2312"/>
                <w:sz w:val="24"/>
              </w:rPr>
              <w:t>生产作业环节，企业实现智能制造典型场景的覆盖范围</w:t>
            </w:r>
          </w:p>
          <w:p>
            <w:pPr>
              <w:snapToGrid w:val="0"/>
              <w:spacing w:line="340" w:lineRule="exact"/>
              <w:contextualSpacing/>
              <w:rPr>
                <w:rFonts w:eastAsia="仿宋_GB2312"/>
                <w:sz w:val="24"/>
              </w:rPr>
            </w:pPr>
            <w:r>
              <w:rPr>
                <w:rFonts w:eastAsia="仿宋_GB2312"/>
                <w:sz w:val="24"/>
              </w:rPr>
              <w:t>□自动巡检：应用智能巡检装备或设备管理系统，集成数字化技术，实现对设备的高效巡检或异常报警等（50%以上关键业务设备实现下列数字化场景即可勾选该项）</w:t>
            </w:r>
          </w:p>
          <w:p>
            <w:pPr>
              <w:snapToGrid w:val="0"/>
              <w:spacing w:line="340" w:lineRule="exact"/>
              <w:contextualSpacing/>
              <w:rPr>
                <w:rFonts w:eastAsia="仿宋_GB2312"/>
                <w:sz w:val="24"/>
              </w:rPr>
            </w:pPr>
            <w:r>
              <w:rPr>
                <w:rFonts w:eastAsia="仿宋_GB2312"/>
                <w:sz w:val="24"/>
              </w:rPr>
              <w:t>□生产过程可视化：依托各类生产、系统集成，实现生产成本、交期或订单执行进度的可视化（50%以上关键业务生产成本、交期或订单执行进度实现即可勾选）</w:t>
            </w:r>
          </w:p>
          <w:p>
            <w:pPr>
              <w:snapToGrid w:val="0"/>
              <w:spacing w:line="340" w:lineRule="exact"/>
              <w:contextualSpacing/>
              <w:rPr>
                <w:rFonts w:eastAsia="仿宋_GB2312"/>
                <w:sz w:val="24"/>
              </w:rPr>
            </w:pPr>
            <w:r>
              <w:rPr>
                <w:rFonts w:eastAsia="仿宋_GB2312"/>
                <w:sz w:val="24"/>
              </w:rPr>
              <w:t>□精益生产管理：应用数字化工具和方法，开展数据驱动的人、机、料等精确管控，减少生产浪费（50%以上关键业务人、机、料等实现即可勾选）</w:t>
            </w:r>
          </w:p>
          <w:p>
            <w:pPr>
              <w:snapToGrid w:val="0"/>
              <w:spacing w:line="340" w:lineRule="exact"/>
              <w:contextualSpacing/>
              <w:rPr>
                <w:rFonts w:eastAsia="仿宋_GB2312"/>
                <w:sz w:val="24"/>
              </w:rPr>
            </w:pPr>
            <w:r>
              <w:rPr>
                <w:rFonts w:eastAsia="仿宋_GB2312"/>
                <w:sz w:val="24"/>
              </w:rPr>
              <w:t>□人机协同作业：集成机器人、高端机床或人机交互设备等智能装备，应用AR/VR、机器视觉等技术，实现生产的高效组织和作业协同（50%以上关键产线实现即可勾选）</w:t>
            </w:r>
          </w:p>
          <w:p>
            <w:pPr>
              <w:snapToGrid w:val="0"/>
              <w:spacing w:line="340" w:lineRule="exact"/>
              <w:contextualSpacing/>
              <w:rPr>
                <w:rFonts w:eastAsia="仿宋_GB2312"/>
                <w:sz w:val="24"/>
              </w:rPr>
            </w:pPr>
            <w:r>
              <w:rPr>
                <w:rFonts w:eastAsia="仿宋_GB2312"/>
                <w:sz w:val="24"/>
              </w:rPr>
              <w:t>□基于数字孪生的制造：构建装备、产线、车间、工厂等一种或几种不同层级的数字孪生系统，实现物理世界和虚拟空间的实时映射，推动感知、分析、预测和控制能力的全面提升（某一或几种/个关键装备、产线、车间或工厂实现即可勾选）</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continue"/>
            <w:noWrap w:val="0"/>
            <w:vAlign w:val="center"/>
          </w:tcPr>
          <w:p>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12</w:t>
            </w:r>
          </w:p>
          <w:p>
            <w:pPr>
              <w:snapToGrid w:val="0"/>
              <w:spacing w:line="340" w:lineRule="exact"/>
              <w:contextualSpacing/>
              <w:rPr>
                <w:rFonts w:eastAsia="仿宋_GB2312"/>
                <w:sz w:val="24"/>
              </w:rPr>
            </w:pPr>
            <w:r>
              <w:rPr>
                <w:rFonts w:eastAsia="仿宋_GB2312"/>
                <w:sz w:val="24"/>
              </w:rPr>
              <w:t>（20%）</w:t>
            </w:r>
          </w:p>
        </w:tc>
        <w:tc>
          <w:tcPr>
            <w:tcW w:w="7507" w:type="dxa"/>
            <w:noWrap w:val="0"/>
            <w:vAlign w:val="center"/>
          </w:tcPr>
          <w:p>
            <w:pPr>
              <w:snapToGrid w:val="0"/>
              <w:spacing w:line="340" w:lineRule="exact"/>
              <w:contextualSpacing/>
              <w:rPr>
                <w:rFonts w:eastAsia="仿宋_GB2312"/>
                <w:sz w:val="24"/>
              </w:rPr>
            </w:pPr>
            <w:r>
              <w:rPr>
                <w:rFonts w:eastAsia="仿宋_GB2312"/>
                <w:sz w:val="24"/>
              </w:rPr>
              <w:t>质量控制环节，企业运用数字化手段提高质量控制能力的重点场景覆盖范围</w:t>
            </w:r>
          </w:p>
          <w:p>
            <w:pPr>
              <w:snapToGrid w:val="0"/>
              <w:spacing w:line="340" w:lineRule="exact"/>
              <w:contextualSpacing/>
              <w:rPr>
                <w:rFonts w:eastAsia="仿宋_GB2312"/>
                <w:sz w:val="24"/>
              </w:rPr>
            </w:pPr>
            <w:r>
              <w:rPr>
                <w:rFonts w:eastAsia="仿宋_GB2312"/>
                <w:sz w:val="24"/>
              </w:rPr>
              <w:t>（某一种或几种关键产品或物料实现即可勾选）</w:t>
            </w:r>
          </w:p>
          <w:p>
            <w:pPr>
              <w:snapToGrid w:val="0"/>
              <w:spacing w:line="340" w:lineRule="exact"/>
              <w:contextualSpacing/>
              <w:rPr>
                <w:rFonts w:eastAsia="仿宋_GB2312"/>
                <w:sz w:val="24"/>
              </w:rPr>
            </w:pPr>
            <w:r>
              <w:rPr>
                <w:rFonts w:eastAsia="仿宋_GB2312"/>
                <w:sz w:val="24"/>
              </w:rPr>
              <w:t>□数字化检测：应用数字化设备和技术，实现关键环节的在线检测、分析、结果判定</w:t>
            </w:r>
          </w:p>
          <w:p>
            <w:pPr>
              <w:snapToGrid w:val="0"/>
              <w:spacing w:line="340" w:lineRule="exact"/>
              <w:contextualSpacing/>
              <w:rPr>
                <w:rFonts w:eastAsia="仿宋_GB2312"/>
                <w:sz w:val="24"/>
              </w:rPr>
            </w:pPr>
            <w:r>
              <w:rPr>
                <w:rFonts w:eastAsia="仿宋_GB2312"/>
                <w:sz w:val="24"/>
              </w:rPr>
              <w:t>□质量精准追溯：应用数字化技术，采集产品原料、生产过程、客户使用的质量信息等信息，实现产品质量全过程精准追溯</w:t>
            </w:r>
          </w:p>
          <w:p>
            <w:pPr>
              <w:snapToGrid w:val="0"/>
              <w:spacing w:line="340" w:lineRule="exact"/>
              <w:contextualSpacing/>
              <w:rPr>
                <w:rFonts w:eastAsia="仿宋_GB2312"/>
                <w:sz w:val="24"/>
              </w:rPr>
            </w:pPr>
            <w:r>
              <w:rPr>
                <w:rFonts w:eastAsia="仿宋_GB2312"/>
                <w:sz w:val="24"/>
              </w:rPr>
              <w:t>□产品质量优化：应用数字化技术，实现产品质量影响因素识别、缺陷分析预测或质量优化提升</w:t>
            </w:r>
          </w:p>
          <w:p>
            <w:pPr>
              <w:snapToGrid w:val="0"/>
              <w:spacing w:line="340" w:lineRule="exact"/>
              <w:contextualSpacing/>
              <w:rPr>
                <w:rFonts w:eastAsia="仿宋_GB2312"/>
                <w:sz w:val="24"/>
              </w:rPr>
            </w:pPr>
            <w:r>
              <w:rPr>
                <w:rFonts w:eastAsia="仿宋_GB2312"/>
                <w:sz w:val="24"/>
              </w:rPr>
              <w:t>□质量控制协同：利用数字化手段实现质量控制与相关业务的协同，包括质量与规范同步、检测数据与设备信息同步、供应商质量信息同步、客户质量信息同步等</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5" w:hRule="atLeast"/>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vMerge w:val="continue"/>
            <w:noWrap w:val="0"/>
            <w:vAlign w:val="center"/>
          </w:tcPr>
          <w:p>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13</w:t>
            </w:r>
          </w:p>
          <w:p>
            <w:pPr>
              <w:snapToGrid w:val="0"/>
              <w:spacing w:line="340" w:lineRule="exact"/>
              <w:contextualSpacing/>
              <w:rPr>
                <w:rFonts w:eastAsia="仿宋_GB2312"/>
                <w:sz w:val="24"/>
              </w:rPr>
            </w:pPr>
            <w:r>
              <w:rPr>
                <w:rFonts w:eastAsia="仿宋_GB2312"/>
                <w:sz w:val="24"/>
              </w:rPr>
              <w:t>（20%）</w:t>
            </w:r>
          </w:p>
        </w:tc>
        <w:tc>
          <w:tcPr>
            <w:tcW w:w="7507" w:type="dxa"/>
            <w:noWrap w:val="0"/>
            <w:vAlign w:val="center"/>
          </w:tcPr>
          <w:p>
            <w:pPr>
              <w:snapToGrid w:val="0"/>
              <w:spacing w:line="340" w:lineRule="exact"/>
              <w:contextualSpacing/>
              <w:rPr>
                <w:rFonts w:eastAsia="仿宋_GB2312"/>
                <w:sz w:val="24"/>
              </w:rPr>
            </w:pPr>
            <w:r>
              <w:rPr>
                <w:rFonts w:eastAsia="仿宋_GB2312"/>
                <w:sz w:val="24"/>
              </w:rPr>
              <w:t>仓储物流环节：企业实现仓储物流数字化场景的覆盖范围</w:t>
            </w:r>
          </w:p>
          <w:p>
            <w:pPr>
              <w:snapToGrid w:val="0"/>
              <w:spacing w:line="340" w:lineRule="exact"/>
              <w:contextualSpacing/>
              <w:rPr>
                <w:rFonts w:eastAsia="仿宋_GB2312"/>
                <w:sz w:val="24"/>
              </w:rPr>
            </w:pPr>
            <w:r>
              <w:rPr>
                <w:rFonts w:eastAsia="仿宋_GB2312"/>
                <w:sz w:val="24"/>
              </w:rPr>
              <w:t>（注1：50%以上关键原料、半成品、成品等实现下列数字化场景即可勾选该项）</w:t>
            </w:r>
          </w:p>
          <w:p>
            <w:pPr>
              <w:snapToGrid w:val="0"/>
              <w:spacing w:line="340" w:lineRule="exact"/>
              <w:contextualSpacing/>
              <w:rPr>
                <w:rFonts w:eastAsia="仿宋_GB2312"/>
                <w:sz w:val="24"/>
              </w:rPr>
            </w:pPr>
            <w:r>
              <w:rPr>
                <w:rFonts w:eastAsia="仿宋_GB2312"/>
                <w:sz w:val="24"/>
              </w:rPr>
              <w:t>（注2：通过第三方、第四方物流实现的仓储物流数字化，如覆盖下述场景也可勾选）</w:t>
            </w:r>
          </w:p>
          <w:p>
            <w:pPr>
              <w:snapToGrid w:val="0"/>
              <w:spacing w:line="340" w:lineRule="exact"/>
              <w:contextualSpacing/>
              <w:rPr>
                <w:rFonts w:eastAsia="仿宋_GB2312"/>
                <w:sz w:val="24"/>
              </w:rPr>
            </w:pPr>
            <w:r>
              <w:rPr>
                <w:rFonts w:eastAsia="仿宋_GB2312"/>
                <w:sz w:val="24"/>
              </w:rPr>
              <w:t>□物料条码管理：统一条码管理标识货物</w:t>
            </w:r>
          </w:p>
          <w:p>
            <w:pPr>
              <w:snapToGrid w:val="0"/>
              <w:spacing w:line="340" w:lineRule="exact"/>
              <w:contextualSpacing/>
              <w:rPr>
                <w:rFonts w:eastAsia="仿宋_GB2312"/>
                <w:sz w:val="24"/>
              </w:rPr>
            </w:pPr>
            <w:r>
              <w:rPr>
                <w:rFonts w:eastAsia="仿宋_GB2312"/>
                <w:sz w:val="24"/>
              </w:rPr>
              <w:t>□智能仓储：应用数字化技术，依据实际生产作业计划，实现物料自动入库（进厂）、盘库或出库（出厂）</w:t>
            </w:r>
          </w:p>
          <w:p>
            <w:pPr>
              <w:snapToGrid w:val="0"/>
              <w:spacing w:line="340" w:lineRule="exact"/>
              <w:contextualSpacing/>
              <w:rPr>
                <w:rFonts w:eastAsia="仿宋_GB2312"/>
                <w:sz w:val="24"/>
              </w:rPr>
            </w:pPr>
            <w:r>
              <w:rPr>
                <w:rFonts w:eastAsia="仿宋_GB2312"/>
                <w:sz w:val="24"/>
              </w:rPr>
              <w:t>□精准配送：应用数字化技术，实现动态调度、自动配送或路径优化</w:t>
            </w:r>
          </w:p>
          <w:p>
            <w:pPr>
              <w:snapToGrid w:val="0"/>
              <w:spacing w:line="340" w:lineRule="exact"/>
              <w:contextualSpacing/>
              <w:rPr>
                <w:rFonts w:eastAsia="仿宋_GB2312"/>
                <w:sz w:val="24"/>
              </w:rPr>
            </w:pPr>
            <w:r>
              <w:rPr>
                <w:rFonts w:eastAsia="仿宋_GB2312"/>
                <w:sz w:val="24"/>
              </w:rPr>
              <w:t>□物料实时跟踪：应用制造执行系统（MES）或仓储管理系统（WMS），采用数字化技术，实现原材料、在制品或产成品流转的全程跟踪</w:t>
            </w:r>
          </w:p>
          <w:p>
            <w:pPr>
              <w:snapToGrid w:val="0"/>
              <w:spacing w:line="340" w:lineRule="exact"/>
              <w:contextualSpacing/>
              <w:rPr>
                <w:rFonts w:eastAsia="仿宋_GB2312"/>
                <w:sz w:val="24"/>
              </w:rPr>
            </w:pPr>
            <w:r>
              <w:rPr>
                <w:rFonts w:eastAsia="仿宋_GB2312"/>
                <w:sz w:val="24"/>
              </w:rPr>
              <w:t>□物流监测与优化：依托运输管理系统（TMS），应用数字化技术，实现运输配送全程跟踪或异常预警，装载能力优化或配送路径优化</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noWrap w:val="0"/>
            <w:vAlign w:val="center"/>
          </w:tcPr>
          <w:p>
            <w:pPr>
              <w:snapToGrid w:val="0"/>
              <w:spacing w:line="340" w:lineRule="exact"/>
              <w:contextualSpacing/>
              <w:rPr>
                <w:rFonts w:eastAsia="仿宋_GB2312"/>
                <w:sz w:val="24"/>
              </w:rPr>
            </w:pPr>
            <w:r>
              <w:rPr>
                <w:rFonts w:eastAsia="仿宋_GB2312"/>
                <w:sz w:val="24"/>
              </w:rPr>
              <w:t>采购</w:t>
            </w:r>
          </w:p>
          <w:p>
            <w:pPr>
              <w:snapToGrid w:val="0"/>
              <w:spacing w:line="340" w:lineRule="exact"/>
              <w:contextualSpacing/>
              <w:rPr>
                <w:rFonts w:eastAsia="仿宋_GB2312"/>
                <w:sz w:val="24"/>
              </w:rPr>
            </w:pPr>
            <w:r>
              <w:rPr>
                <w:rFonts w:eastAsia="仿宋_GB2312"/>
                <w:sz w:val="24"/>
              </w:rPr>
              <w:t>供应</w:t>
            </w:r>
          </w:p>
          <w:p>
            <w:pPr>
              <w:snapToGrid w:val="0"/>
              <w:spacing w:line="340" w:lineRule="exact"/>
              <w:contextualSpacing/>
              <w:rPr>
                <w:rFonts w:eastAsia="仿宋_GB2312"/>
                <w:sz w:val="24"/>
              </w:rPr>
            </w:pPr>
            <w:r>
              <w:rPr>
                <w:rFonts w:eastAsia="仿宋_GB2312"/>
                <w:sz w:val="24"/>
              </w:rPr>
              <w:t>（</w:t>
            </w:r>
            <w:r>
              <w:rPr>
                <w:rFonts w:eastAsia="仿宋_GB2312"/>
                <w:kern w:val="0"/>
                <w:sz w:val="24"/>
              </w:rPr>
              <w:t>10%）</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14</w:t>
            </w:r>
          </w:p>
        </w:tc>
        <w:tc>
          <w:tcPr>
            <w:tcW w:w="7507" w:type="dxa"/>
            <w:noWrap w:val="0"/>
            <w:vAlign w:val="center"/>
          </w:tcPr>
          <w:p>
            <w:pPr>
              <w:snapToGrid w:val="0"/>
              <w:spacing w:line="340" w:lineRule="exact"/>
              <w:contextualSpacing/>
              <w:rPr>
                <w:rFonts w:eastAsia="仿宋_GB2312"/>
                <w:sz w:val="24"/>
              </w:rPr>
            </w:pPr>
            <w:r>
              <w:rPr>
                <w:rFonts w:eastAsia="仿宋_GB2312"/>
                <w:sz w:val="24"/>
              </w:rPr>
              <w:t>采购供应环节：企业实现采购管理数字化场景的覆盖范围</w:t>
            </w:r>
          </w:p>
          <w:p>
            <w:pPr>
              <w:snapToGrid w:val="0"/>
              <w:spacing w:line="340" w:lineRule="exact"/>
              <w:contextualSpacing/>
              <w:rPr>
                <w:rFonts w:eastAsia="仿宋_GB2312"/>
                <w:sz w:val="24"/>
              </w:rPr>
            </w:pPr>
            <w:r>
              <w:rPr>
                <w:rFonts w:eastAsia="仿宋_GB2312"/>
                <w:sz w:val="24"/>
              </w:rPr>
              <w:t>（50%以上关键业务采购活动实现下列数字化场景即可勾选该项）</w:t>
            </w:r>
          </w:p>
          <w:p>
            <w:pPr>
              <w:snapToGrid w:val="0"/>
              <w:spacing w:line="340" w:lineRule="exact"/>
              <w:contextualSpacing/>
              <w:rPr>
                <w:rFonts w:eastAsia="仿宋_GB2312"/>
                <w:sz w:val="24"/>
              </w:rPr>
            </w:pPr>
            <w:r>
              <w:rPr>
                <w:rFonts w:eastAsia="仿宋_GB2312"/>
                <w:sz w:val="24"/>
              </w:rPr>
              <w:t>□采购管理信息化：通过信息系统实现采购计划管理、采购过程管理和供应商管理</w:t>
            </w:r>
          </w:p>
          <w:p>
            <w:pPr>
              <w:snapToGrid w:val="0"/>
              <w:spacing w:line="340" w:lineRule="exact"/>
              <w:contextualSpacing/>
              <w:rPr>
                <w:rFonts w:eastAsia="仿宋_GB2312"/>
                <w:sz w:val="24"/>
              </w:rPr>
            </w:pPr>
            <w:r>
              <w:rPr>
                <w:rFonts w:eastAsia="仿宋_GB2312"/>
                <w:sz w:val="24"/>
              </w:rPr>
              <w:t>□采购策略优化：建设供应链管理系统（SCM），集成数字化技术，实现供应商综合评价、采购需求精准决策或采购方案动态优化</w:t>
            </w:r>
          </w:p>
          <w:p>
            <w:pPr>
              <w:snapToGrid w:val="0"/>
              <w:spacing w:line="340" w:lineRule="exact"/>
              <w:contextualSpacing/>
              <w:rPr>
                <w:rFonts w:eastAsia="仿宋_GB2312"/>
                <w:sz w:val="24"/>
              </w:rPr>
            </w:pPr>
            <w:r>
              <w:rPr>
                <w:rFonts w:eastAsia="仿宋_GB2312"/>
                <w:sz w:val="24"/>
              </w:rPr>
              <w:t>□供应链可视化：搭建供应链管理系统（SCM），融合数字化技术，实现供应链可视化监控。</w:t>
            </w:r>
          </w:p>
          <w:p>
            <w:pPr>
              <w:snapToGrid w:val="0"/>
              <w:spacing w:line="340" w:lineRule="exact"/>
              <w:contextualSpacing/>
              <w:rPr>
                <w:rFonts w:eastAsia="仿宋_GB2312"/>
                <w:sz w:val="24"/>
              </w:rPr>
            </w:pPr>
            <w:r>
              <w:rPr>
                <w:rFonts w:eastAsia="仿宋_GB2312"/>
                <w:sz w:val="24"/>
              </w:rPr>
              <w:t>□供应链风险预警与弹性管控：建立供应链管理系统（SCM），集成数字化技术，开展供应链风险隐患识别、定位、预警或高效处置</w:t>
            </w:r>
          </w:p>
          <w:p>
            <w:pPr>
              <w:snapToGrid w:val="0"/>
              <w:spacing w:line="340" w:lineRule="exact"/>
              <w:contextualSpacing/>
              <w:rPr>
                <w:rFonts w:eastAsia="仿宋_GB2312"/>
                <w:sz w:val="24"/>
              </w:rPr>
            </w:pPr>
            <w:r>
              <w:rPr>
                <w:rFonts w:eastAsia="仿宋_GB2312"/>
                <w:sz w:val="24"/>
              </w:rPr>
              <w:t>□采购协同：利用数字化技术实现采购供应与相关业务的协同，包括业务配合同步、质量与规范同步、结算对账同步、库存与计划同步等</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noWrap w:val="0"/>
            <w:vAlign w:val="center"/>
          </w:tcPr>
          <w:p>
            <w:pPr>
              <w:snapToGrid w:val="0"/>
              <w:spacing w:line="340" w:lineRule="exact"/>
              <w:contextualSpacing/>
              <w:rPr>
                <w:rFonts w:eastAsia="仿宋_GB2312"/>
                <w:sz w:val="24"/>
              </w:rPr>
            </w:pPr>
            <w:r>
              <w:rPr>
                <w:rFonts w:eastAsia="仿宋_GB2312"/>
                <w:sz w:val="24"/>
              </w:rPr>
              <w:t>营销</w:t>
            </w:r>
          </w:p>
          <w:p>
            <w:pPr>
              <w:snapToGrid w:val="0"/>
              <w:spacing w:line="340" w:lineRule="exact"/>
              <w:contextualSpacing/>
              <w:rPr>
                <w:rFonts w:eastAsia="仿宋_GB2312"/>
                <w:sz w:val="24"/>
              </w:rPr>
            </w:pPr>
            <w:r>
              <w:rPr>
                <w:rFonts w:eastAsia="仿宋_GB2312"/>
                <w:sz w:val="24"/>
              </w:rPr>
              <w:t>管理</w:t>
            </w:r>
          </w:p>
          <w:p>
            <w:pPr>
              <w:snapToGrid w:val="0"/>
              <w:spacing w:line="340" w:lineRule="exact"/>
              <w:contextualSpacing/>
              <w:rPr>
                <w:rFonts w:eastAsia="仿宋_GB2312"/>
                <w:sz w:val="24"/>
              </w:rPr>
            </w:pPr>
            <w:r>
              <w:rPr>
                <w:rFonts w:eastAsia="仿宋_GB2312"/>
                <w:sz w:val="24"/>
              </w:rPr>
              <w:t>（</w:t>
            </w:r>
            <w:r>
              <w:rPr>
                <w:rFonts w:eastAsia="仿宋_GB2312"/>
                <w:kern w:val="0"/>
                <w:sz w:val="24"/>
              </w:rPr>
              <w:t>10%）</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15</w:t>
            </w:r>
          </w:p>
        </w:tc>
        <w:tc>
          <w:tcPr>
            <w:tcW w:w="7507" w:type="dxa"/>
            <w:noWrap w:val="0"/>
            <w:vAlign w:val="center"/>
          </w:tcPr>
          <w:p>
            <w:pPr>
              <w:snapToGrid w:val="0"/>
              <w:spacing w:line="340" w:lineRule="exact"/>
              <w:contextualSpacing/>
              <w:rPr>
                <w:rFonts w:eastAsia="仿宋_GB2312"/>
                <w:sz w:val="24"/>
              </w:rPr>
            </w:pPr>
            <w:r>
              <w:rPr>
                <w:rFonts w:eastAsia="仿宋_GB2312"/>
                <w:sz w:val="24"/>
              </w:rPr>
              <w:t>营销管理环节，企业实现营销管理数字化场景的覆盖范围</w:t>
            </w:r>
          </w:p>
          <w:p>
            <w:pPr>
              <w:snapToGrid w:val="0"/>
              <w:spacing w:line="340" w:lineRule="exact"/>
              <w:contextualSpacing/>
              <w:rPr>
                <w:rFonts w:eastAsia="仿宋_GB2312"/>
                <w:sz w:val="24"/>
              </w:rPr>
            </w:pPr>
            <w:r>
              <w:rPr>
                <w:rFonts w:eastAsia="仿宋_GB2312"/>
                <w:sz w:val="24"/>
              </w:rPr>
              <w:t>（50%以上关键业务市场营销实现下列数字化场景即可勾选该项）</w:t>
            </w:r>
          </w:p>
          <w:p>
            <w:pPr>
              <w:snapToGrid w:val="0"/>
              <w:spacing w:line="340" w:lineRule="exact"/>
              <w:contextualSpacing/>
              <w:rPr>
                <w:rFonts w:eastAsia="仿宋_GB2312"/>
                <w:sz w:val="24"/>
              </w:rPr>
            </w:pPr>
            <w:r>
              <w:rPr>
                <w:rFonts w:eastAsia="仿宋_GB2312"/>
                <w:sz w:val="24"/>
              </w:rPr>
              <w:t>□销售计划动态优化：依托客户关系管理系统（CRM），应用数字化技术，实现挖掘分析客户信息、构建用户画像、构建需求预测模型或制定精准销售计划</w:t>
            </w:r>
          </w:p>
          <w:p>
            <w:pPr>
              <w:snapToGrid w:val="0"/>
              <w:spacing w:line="340" w:lineRule="exact"/>
              <w:contextualSpacing/>
              <w:rPr>
                <w:rFonts w:eastAsia="仿宋_GB2312"/>
                <w:sz w:val="24"/>
              </w:rPr>
            </w:pPr>
            <w:r>
              <w:rPr>
                <w:rFonts w:eastAsia="仿宋_GB2312"/>
                <w:sz w:val="24"/>
              </w:rPr>
              <w:t>□市场快速分析预测：应用数字化技术，实现对市场未来供求趋势、影响因素或其变化规律的精准分析、判断或预测</w:t>
            </w:r>
          </w:p>
          <w:p>
            <w:pPr>
              <w:snapToGrid w:val="0"/>
              <w:spacing w:line="340" w:lineRule="exact"/>
              <w:contextualSpacing/>
              <w:rPr>
                <w:rFonts w:eastAsia="仿宋_GB2312"/>
                <w:sz w:val="24"/>
              </w:rPr>
            </w:pPr>
            <w:r>
              <w:rPr>
                <w:rFonts w:eastAsia="仿宋_GB2312"/>
                <w:sz w:val="24"/>
              </w:rPr>
              <w:t>□销售驱动业务优化：应用数字化技术，根据客户需求变化，动态调整设计采购、生产或物流等方案</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noWrap w:val="0"/>
            <w:vAlign w:val="center"/>
          </w:tcPr>
          <w:p>
            <w:pPr>
              <w:snapToGrid w:val="0"/>
              <w:spacing w:line="340" w:lineRule="exact"/>
              <w:contextualSpacing/>
              <w:rPr>
                <w:rFonts w:eastAsia="仿宋_GB2312"/>
                <w:sz w:val="24"/>
              </w:rPr>
            </w:pPr>
            <w:r>
              <w:rPr>
                <w:rFonts w:eastAsia="仿宋_GB2312"/>
                <w:sz w:val="24"/>
              </w:rPr>
              <w:t>产品</w:t>
            </w:r>
          </w:p>
          <w:p>
            <w:pPr>
              <w:snapToGrid w:val="0"/>
              <w:spacing w:line="340" w:lineRule="exact"/>
              <w:contextualSpacing/>
              <w:rPr>
                <w:rFonts w:eastAsia="仿宋_GB2312"/>
                <w:sz w:val="24"/>
              </w:rPr>
            </w:pPr>
            <w:r>
              <w:rPr>
                <w:rFonts w:eastAsia="仿宋_GB2312"/>
                <w:sz w:val="24"/>
              </w:rPr>
              <w:t>服务</w:t>
            </w:r>
          </w:p>
          <w:p>
            <w:pPr>
              <w:snapToGrid w:val="0"/>
              <w:spacing w:line="340" w:lineRule="exact"/>
              <w:contextualSpacing/>
              <w:rPr>
                <w:rFonts w:eastAsia="仿宋_GB2312"/>
                <w:sz w:val="24"/>
              </w:rPr>
            </w:pPr>
            <w:r>
              <w:rPr>
                <w:rFonts w:eastAsia="仿宋_GB2312"/>
                <w:sz w:val="24"/>
              </w:rPr>
              <w:t>（</w:t>
            </w:r>
            <w:r>
              <w:rPr>
                <w:rFonts w:eastAsia="仿宋_GB2312"/>
                <w:kern w:val="0"/>
                <w:sz w:val="24"/>
              </w:rPr>
              <w:t>14%）</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16</w:t>
            </w:r>
          </w:p>
        </w:tc>
        <w:tc>
          <w:tcPr>
            <w:tcW w:w="7507" w:type="dxa"/>
            <w:noWrap w:val="0"/>
            <w:vAlign w:val="center"/>
          </w:tcPr>
          <w:p>
            <w:pPr>
              <w:snapToGrid w:val="0"/>
              <w:spacing w:line="340" w:lineRule="exact"/>
              <w:contextualSpacing/>
              <w:rPr>
                <w:rFonts w:eastAsia="仿宋_GB2312"/>
                <w:sz w:val="24"/>
              </w:rPr>
            </w:pPr>
            <w:r>
              <w:rPr>
                <w:rFonts w:eastAsia="仿宋_GB2312"/>
                <w:sz w:val="24"/>
              </w:rPr>
              <w:t>产品服务环节，企业实现产品服务数字化场景的覆盖范围</w:t>
            </w:r>
          </w:p>
          <w:p>
            <w:pPr>
              <w:snapToGrid w:val="0"/>
              <w:spacing w:line="340" w:lineRule="exact"/>
              <w:contextualSpacing/>
              <w:rPr>
                <w:rFonts w:eastAsia="仿宋_GB2312"/>
                <w:sz w:val="24"/>
              </w:rPr>
            </w:pPr>
            <w:r>
              <w:rPr>
                <w:rFonts w:eastAsia="仿宋_GB2312"/>
                <w:sz w:val="24"/>
              </w:rPr>
              <w:t>（1）</w:t>
            </w:r>
            <w:bookmarkStart w:id="0" w:name="_Hlk104714702"/>
            <w:r>
              <w:rPr>
                <w:rFonts w:eastAsia="仿宋_GB2312"/>
                <w:sz w:val="24"/>
              </w:rPr>
              <w:t>利用信息系统实现售后服务数字化管理</w:t>
            </w:r>
            <w:bookmarkEnd w:id="0"/>
            <w:r>
              <w:rPr>
                <w:rFonts w:eastAsia="仿宋_GB2312"/>
                <w:sz w:val="24"/>
              </w:rPr>
              <w:t>的情况（50%以上关键产品售后服务实现下列数字化场景即可勾选该项）</w:t>
            </w:r>
          </w:p>
          <w:p>
            <w:pPr>
              <w:snapToGrid w:val="0"/>
              <w:spacing w:line="340" w:lineRule="exact"/>
              <w:contextualSpacing/>
              <w:rPr>
                <w:rFonts w:eastAsia="仿宋_GB2312"/>
                <w:sz w:val="24"/>
              </w:rPr>
            </w:pPr>
            <w:r>
              <w:rPr>
                <w:rFonts w:eastAsia="仿宋_GB2312"/>
                <w:sz w:val="24"/>
              </w:rPr>
              <w:t>□退换货质量管理</w:t>
            </w:r>
          </w:p>
          <w:p>
            <w:pPr>
              <w:snapToGrid w:val="0"/>
              <w:spacing w:line="340" w:lineRule="exact"/>
              <w:contextualSpacing/>
              <w:rPr>
                <w:rFonts w:eastAsia="仿宋_GB2312"/>
                <w:sz w:val="24"/>
              </w:rPr>
            </w:pPr>
            <w:r>
              <w:rPr>
                <w:rFonts w:eastAsia="仿宋_GB2312"/>
                <w:sz w:val="24"/>
              </w:rPr>
              <w:t>□客户体验调查</w:t>
            </w:r>
          </w:p>
          <w:p>
            <w:pPr>
              <w:snapToGrid w:val="0"/>
              <w:spacing w:line="340" w:lineRule="exact"/>
              <w:contextualSpacing/>
              <w:rPr>
                <w:rFonts w:eastAsia="仿宋_GB2312"/>
                <w:sz w:val="24"/>
              </w:rPr>
            </w:pPr>
            <w:r>
              <w:rPr>
                <w:rFonts w:eastAsia="仿宋_GB2312"/>
                <w:sz w:val="24"/>
              </w:rPr>
              <w:t>□客户满意度调查</w:t>
            </w:r>
          </w:p>
          <w:p>
            <w:pPr>
              <w:snapToGrid w:val="0"/>
              <w:spacing w:line="340" w:lineRule="exact"/>
              <w:contextualSpacing/>
              <w:rPr>
                <w:rFonts w:eastAsia="仿宋_GB2312"/>
                <w:sz w:val="24"/>
              </w:rPr>
            </w:pPr>
            <w:r>
              <w:rPr>
                <w:rFonts w:eastAsia="仿宋_GB2312"/>
                <w:sz w:val="24"/>
              </w:rPr>
              <w:t>□以上均无</w:t>
            </w:r>
          </w:p>
          <w:p>
            <w:pPr>
              <w:snapToGrid w:val="0"/>
              <w:spacing w:line="340" w:lineRule="exact"/>
              <w:contextualSpacing/>
              <w:rPr>
                <w:rFonts w:eastAsia="仿宋_GB2312"/>
                <w:sz w:val="24"/>
              </w:rPr>
            </w:pPr>
            <w:r>
              <w:rPr>
                <w:rFonts w:eastAsia="仿宋_GB2312"/>
                <w:sz w:val="24"/>
              </w:rPr>
              <w:t>（2）利用数字化技术实现售后服务与相关业务的协同情况（50%以上关键产品售后服务实现下列数字化场景即可勾选该项）</w:t>
            </w:r>
          </w:p>
          <w:p>
            <w:pPr>
              <w:snapToGrid w:val="0"/>
              <w:spacing w:line="340" w:lineRule="exact"/>
              <w:ind w:left="231" w:hanging="240" w:hangingChars="100"/>
              <w:contextualSpacing/>
              <w:rPr>
                <w:rFonts w:eastAsia="仿宋_GB2312"/>
                <w:sz w:val="24"/>
              </w:rPr>
            </w:pPr>
            <w:r>
              <w:rPr>
                <w:rFonts w:eastAsia="仿宋_GB2312"/>
                <w:sz w:val="24"/>
              </w:rPr>
              <w:t>□售后配件与库存协同</w:t>
            </w:r>
          </w:p>
          <w:p>
            <w:pPr>
              <w:snapToGrid w:val="0"/>
              <w:spacing w:line="340" w:lineRule="exact"/>
              <w:ind w:left="231" w:hanging="240" w:hangingChars="100"/>
              <w:contextualSpacing/>
              <w:rPr>
                <w:rFonts w:eastAsia="仿宋_GB2312"/>
                <w:sz w:val="24"/>
              </w:rPr>
            </w:pPr>
            <w:r>
              <w:rPr>
                <w:rFonts w:eastAsia="仿宋_GB2312"/>
                <w:sz w:val="24"/>
              </w:rPr>
              <w:t>□失效产品追溯与质量根因分析</w:t>
            </w:r>
          </w:p>
          <w:p>
            <w:pPr>
              <w:snapToGrid w:val="0"/>
              <w:spacing w:line="340" w:lineRule="exact"/>
              <w:ind w:left="231" w:hanging="240" w:hangingChars="100"/>
              <w:contextualSpacing/>
              <w:rPr>
                <w:rFonts w:eastAsia="仿宋_GB2312"/>
                <w:sz w:val="24"/>
              </w:rPr>
            </w:pPr>
            <w:r>
              <w:rPr>
                <w:rFonts w:eastAsia="仿宋_GB2312"/>
                <w:sz w:val="24"/>
              </w:rPr>
              <w:t>□失效原因与设计优化协同</w:t>
            </w:r>
          </w:p>
          <w:p>
            <w:pPr>
              <w:snapToGrid w:val="0"/>
              <w:spacing w:line="340" w:lineRule="exact"/>
              <w:ind w:left="231" w:hanging="240" w:hangingChars="100"/>
              <w:contextualSpacing/>
              <w:rPr>
                <w:rFonts w:eastAsia="仿宋_GB2312"/>
                <w:sz w:val="24"/>
              </w:rPr>
            </w:pPr>
            <w:r>
              <w:rPr>
                <w:rFonts w:eastAsia="仿宋_GB2312"/>
                <w:sz w:val="24"/>
              </w:rPr>
              <w:t>□以上均无</w:t>
            </w:r>
          </w:p>
          <w:p>
            <w:pPr>
              <w:snapToGrid w:val="0"/>
              <w:spacing w:line="340" w:lineRule="exact"/>
              <w:contextualSpacing/>
              <w:rPr>
                <w:rFonts w:eastAsia="仿宋_GB2312"/>
                <w:sz w:val="24"/>
              </w:rPr>
            </w:pPr>
            <w:r>
              <w:rPr>
                <w:rFonts w:eastAsia="仿宋_GB2312"/>
                <w:sz w:val="24"/>
              </w:rPr>
              <w:t>（3）新一代信息技术在新型智能产品中应用场景的覆盖范围（某一种或几种关键产品实现下列数字化场景即可勾选该项）</w:t>
            </w:r>
          </w:p>
          <w:p>
            <w:pPr>
              <w:snapToGrid w:val="0"/>
              <w:spacing w:line="340" w:lineRule="exact"/>
              <w:contextualSpacing/>
              <w:rPr>
                <w:rFonts w:eastAsia="仿宋_GB2312"/>
                <w:sz w:val="24"/>
              </w:rPr>
            </w:pPr>
            <w:r>
              <w:rPr>
                <w:rFonts w:eastAsia="仿宋_GB2312"/>
                <w:sz w:val="24"/>
              </w:rPr>
              <w:t>□数据增值服务：分析产品的运行工况等数据，应用数字化技术，提供设备估值、融资租赁、资产处置等新业务</w:t>
            </w:r>
          </w:p>
          <w:p>
            <w:pPr>
              <w:snapToGrid w:val="0"/>
              <w:spacing w:line="340" w:lineRule="exact"/>
              <w:contextualSpacing/>
              <w:rPr>
                <w:rFonts w:eastAsia="仿宋_GB2312"/>
                <w:sz w:val="24"/>
              </w:rPr>
            </w:pPr>
            <w:r>
              <w:rPr>
                <w:rFonts w:eastAsia="仿宋_GB2312"/>
                <w:sz w:val="24"/>
              </w:rPr>
              <w:t>□主动客户服务：依托客户关系管理系统（CRM），集成数字化技术，实现精细化管理或主动式客户服务</w:t>
            </w:r>
          </w:p>
          <w:p>
            <w:pPr>
              <w:snapToGrid w:val="0"/>
              <w:spacing w:line="340" w:lineRule="exact"/>
              <w:contextualSpacing/>
              <w:rPr>
                <w:rFonts w:eastAsia="仿宋_GB2312"/>
                <w:sz w:val="24"/>
              </w:rPr>
            </w:pPr>
            <w:r>
              <w:rPr>
                <w:rFonts w:eastAsia="仿宋_GB2312"/>
                <w:sz w:val="24"/>
              </w:rPr>
              <w:t>□用户直连制造：通过用户和企业的深度交互，提供满足个性化需求的产品定制设计、柔性化生产或个性化服务</w:t>
            </w:r>
          </w:p>
          <w:p>
            <w:pPr>
              <w:snapToGrid w:val="0"/>
              <w:spacing w:line="340" w:lineRule="exact"/>
              <w:contextualSpacing/>
              <w:rPr>
                <w:rFonts w:eastAsia="仿宋_GB2312"/>
                <w:sz w:val="24"/>
              </w:rPr>
            </w:pPr>
            <w:r>
              <w:rPr>
                <w:rFonts w:eastAsia="仿宋_GB2312"/>
                <w:sz w:val="24"/>
              </w:rPr>
              <w:t>□大批量定制：通过生产柔性化、敏捷化或产品模块化，根据客户的个性化需求，以大批量生产方式提供定制化的产品和服务</w:t>
            </w:r>
          </w:p>
          <w:p>
            <w:pPr>
              <w:snapToGrid w:val="0"/>
              <w:spacing w:line="340" w:lineRule="exact"/>
              <w:contextualSpacing/>
              <w:rPr>
                <w:rFonts w:eastAsia="仿宋_GB2312"/>
                <w:sz w:val="24"/>
              </w:rPr>
            </w:pPr>
            <w:r>
              <w:rPr>
                <w:rFonts w:eastAsia="仿宋_GB2312"/>
                <w:sz w:val="24"/>
              </w:rPr>
              <w:t>□产品的远程运维：依托产品远程运维管理平台，实现基于运行数据的产品远程监控、预测性维护或产品设计的持续改进</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noWrap w:val="0"/>
            <w:vAlign w:val="center"/>
          </w:tcPr>
          <w:p>
            <w:pPr>
              <w:snapToGrid w:val="0"/>
              <w:spacing w:line="340" w:lineRule="exact"/>
              <w:contextualSpacing/>
              <w:rPr>
                <w:rFonts w:eastAsia="仿宋_GB2312"/>
                <w:sz w:val="24"/>
              </w:rPr>
            </w:pPr>
            <w:r>
              <w:rPr>
                <w:rFonts w:eastAsia="仿宋_GB2312"/>
                <w:sz w:val="24"/>
              </w:rPr>
              <w:t>业务</w:t>
            </w:r>
          </w:p>
          <w:p>
            <w:pPr>
              <w:snapToGrid w:val="0"/>
              <w:spacing w:line="340" w:lineRule="exact"/>
              <w:contextualSpacing/>
              <w:rPr>
                <w:rFonts w:eastAsia="仿宋_GB2312"/>
                <w:sz w:val="24"/>
              </w:rPr>
            </w:pPr>
            <w:r>
              <w:rPr>
                <w:rFonts w:eastAsia="仿宋_GB2312"/>
                <w:sz w:val="24"/>
              </w:rPr>
              <w:t>协同</w:t>
            </w:r>
          </w:p>
          <w:p>
            <w:pPr>
              <w:snapToGrid w:val="0"/>
              <w:spacing w:line="340" w:lineRule="exact"/>
              <w:contextualSpacing/>
              <w:rPr>
                <w:rFonts w:eastAsia="仿宋_GB2312"/>
                <w:sz w:val="24"/>
              </w:rPr>
            </w:pPr>
            <w:r>
              <w:rPr>
                <w:rFonts w:eastAsia="仿宋_GB2312"/>
                <w:sz w:val="24"/>
              </w:rPr>
              <w:t>（</w:t>
            </w:r>
            <w:r>
              <w:rPr>
                <w:rFonts w:eastAsia="仿宋_GB2312"/>
                <w:kern w:val="0"/>
                <w:sz w:val="24"/>
              </w:rPr>
              <w:t>10%）</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17</w:t>
            </w:r>
          </w:p>
        </w:tc>
        <w:tc>
          <w:tcPr>
            <w:tcW w:w="7507" w:type="dxa"/>
            <w:noWrap w:val="0"/>
            <w:vAlign w:val="center"/>
          </w:tcPr>
          <w:p>
            <w:pPr>
              <w:snapToGrid w:val="0"/>
              <w:spacing w:line="340" w:lineRule="exact"/>
              <w:contextualSpacing/>
              <w:rPr>
                <w:rFonts w:eastAsia="仿宋_GB2312"/>
                <w:sz w:val="24"/>
              </w:rPr>
            </w:pPr>
            <w:r>
              <w:rPr>
                <w:rFonts w:eastAsia="仿宋_GB2312"/>
                <w:sz w:val="24"/>
              </w:rPr>
              <w:t>业务协同方面，企业使用数字化技术实现企业间业务协同数字化场景的覆盖范围</w:t>
            </w:r>
          </w:p>
          <w:p>
            <w:pPr>
              <w:snapToGrid w:val="0"/>
              <w:spacing w:line="340" w:lineRule="exact"/>
              <w:contextualSpacing/>
              <w:rPr>
                <w:rFonts w:eastAsia="仿宋_GB2312"/>
                <w:sz w:val="24"/>
              </w:rPr>
            </w:pPr>
            <w:r>
              <w:rPr>
                <w:rFonts w:eastAsia="仿宋_GB2312"/>
                <w:sz w:val="24"/>
              </w:rPr>
              <w:t>（50%以上关键业务客户、上游供应企业或合作伙伴使用数字化技术实现下列数字化场景即可勾选该项）</w:t>
            </w:r>
          </w:p>
          <w:p>
            <w:pPr>
              <w:snapToGrid w:val="0"/>
              <w:spacing w:line="340" w:lineRule="exact"/>
              <w:contextualSpacing/>
              <w:rPr>
                <w:rFonts w:eastAsia="仿宋_GB2312"/>
                <w:sz w:val="24"/>
              </w:rPr>
            </w:pPr>
            <w:r>
              <w:rPr>
                <w:rFonts w:eastAsia="仿宋_GB2312"/>
                <w:sz w:val="24"/>
              </w:rPr>
              <w:t>□实现研发设计协同</w:t>
            </w:r>
          </w:p>
          <w:p>
            <w:pPr>
              <w:snapToGrid w:val="0"/>
              <w:spacing w:line="340" w:lineRule="exact"/>
              <w:contextualSpacing/>
              <w:rPr>
                <w:rFonts w:eastAsia="仿宋_GB2312"/>
                <w:sz w:val="24"/>
              </w:rPr>
            </w:pPr>
            <w:r>
              <w:rPr>
                <w:rFonts w:eastAsia="仿宋_GB2312"/>
                <w:sz w:val="24"/>
              </w:rPr>
              <w:t>□实现生产制造协同</w:t>
            </w:r>
          </w:p>
          <w:p>
            <w:pPr>
              <w:snapToGrid w:val="0"/>
              <w:spacing w:line="340" w:lineRule="exact"/>
              <w:contextualSpacing/>
              <w:rPr>
                <w:rFonts w:eastAsia="仿宋_GB2312"/>
                <w:sz w:val="24"/>
              </w:rPr>
            </w:pPr>
            <w:r>
              <w:rPr>
                <w:rFonts w:eastAsia="仿宋_GB2312"/>
                <w:sz w:val="24"/>
              </w:rPr>
              <w:t>□实现订货业务协同</w:t>
            </w:r>
          </w:p>
          <w:p>
            <w:pPr>
              <w:snapToGrid w:val="0"/>
              <w:spacing w:line="340" w:lineRule="exact"/>
              <w:contextualSpacing/>
              <w:rPr>
                <w:rFonts w:eastAsia="仿宋_GB2312"/>
                <w:sz w:val="24"/>
              </w:rPr>
            </w:pPr>
            <w:r>
              <w:rPr>
                <w:rFonts w:eastAsia="仿宋_GB2312"/>
                <w:sz w:val="24"/>
              </w:rPr>
              <w:t>□实现物流仓储协同</w:t>
            </w:r>
          </w:p>
          <w:p>
            <w:pPr>
              <w:snapToGrid w:val="0"/>
              <w:spacing w:line="340" w:lineRule="exact"/>
              <w:contextualSpacing/>
              <w:rPr>
                <w:rFonts w:eastAsia="仿宋_GB2312"/>
                <w:sz w:val="24"/>
              </w:rPr>
            </w:pPr>
            <w:r>
              <w:rPr>
                <w:rFonts w:eastAsia="仿宋_GB2312"/>
                <w:sz w:val="24"/>
              </w:rPr>
              <w:t>□实现财务结算协同</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restart"/>
            <w:noWrap w:val="0"/>
            <w:vAlign w:val="center"/>
          </w:tcPr>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snapToGrid w:val="0"/>
              <w:spacing w:line="340" w:lineRule="exact"/>
              <w:contextualSpacing/>
              <w:rPr>
                <w:rFonts w:eastAsia="仿宋_GB2312"/>
                <w:sz w:val="24"/>
              </w:rPr>
            </w:pPr>
            <w:r>
              <w:rPr>
                <w:rFonts w:eastAsia="仿宋_GB2312"/>
                <w:sz w:val="24"/>
              </w:rPr>
              <w:t>三、数字化管理（20%）</w:t>
            </w: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snapToGrid w:val="0"/>
              <w:spacing w:line="340" w:lineRule="exact"/>
              <w:contextualSpacing/>
              <w:rPr>
                <w:rFonts w:eastAsia="仿宋_GB2312"/>
                <w:sz w:val="24"/>
              </w:rPr>
            </w:pPr>
            <w:r>
              <w:rPr>
                <w:rFonts w:eastAsia="仿宋_GB2312"/>
                <w:sz w:val="24"/>
              </w:rPr>
              <w:t>三、数字化管理（20%）</w:t>
            </w:r>
          </w:p>
        </w:tc>
        <w:tc>
          <w:tcPr>
            <w:tcW w:w="1623" w:type="dxa"/>
            <w:noWrap w:val="0"/>
            <w:vAlign w:val="center"/>
          </w:tcPr>
          <w:p>
            <w:pPr>
              <w:snapToGrid w:val="0"/>
              <w:spacing w:line="340" w:lineRule="exact"/>
              <w:contextualSpacing/>
              <w:rPr>
                <w:rFonts w:eastAsia="仿宋_GB2312"/>
                <w:sz w:val="24"/>
              </w:rPr>
            </w:pPr>
            <w:r>
              <w:rPr>
                <w:rFonts w:eastAsia="仿宋_GB2312"/>
                <w:sz w:val="24"/>
              </w:rPr>
              <w:t>经营</w:t>
            </w:r>
          </w:p>
          <w:p>
            <w:pPr>
              <w:snapToGrid w:val="0"/>
              <w:spacing w:line="340" w:lineRule="exact"/>
              <w:contextualSpacing/>
              <w:rPr>
                <w:rFonts w:eastAsia="仿宋_GB2312"/>
                <w:sz w:val="24"/>
              </w:rPr>
            </w:pPr>
            <w:r>
              <w:rPr>
                <w:rFonts w:eastAsia="仿宋_GB2312"/>
                <w:sz w:val="24"/>
              </w:rPr>
              <w:t>战略</w:t>
            </w:r>
          </w:p>
          <w:p>
            <w:pPr>
              <w:snapToGrid w:val="0"/>
              <w:spacing w:line="340" w:lineRule="exact"/>
              <w:contextualSpacing/>
              <w:rPr>
                <w:rFonts w:eastAsia="仿宋_GB2312"/>
                <w:sz w:val="24"/>
              </w:rPr>
            </w:pPr>
            <w:r>
              <w:rPr>
                <w:rFonts w:eastAsia="仿宋_GB2312"/>
                <w:sz w:val="24"/>
              </w:rPr>
              <w:t>（15%）</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18</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企业数字化转型意识与执行水平情况</w:t>
            </w:r>
          </w:p>
          <w:p>
            <w:pPr>
              <w:snapToGrid w:val="0"/>
              <w:spacing w:line="340" w:lineRule="exact"/>
              <w:contextualSpacing/>
              <w:rPr>
                <w:rFonts w:eastAsia="仿宋_GB2312"/>
                <w:sz w:val="24"/>
              </w:rPr>
            </w:pPr>
            <w:r>
              <w:rPr>
                <w:rFonts w:eastAsia="仿宋_GB2312"/>
                <w:sz w:val="24"/>
              </w:rPr>
              <w:t>□已经对数字化转型有了明确的目标（至少半年为期）</w:t>
            </w:r>
          </w:p>
          <w:p>
            <w:pPr>
              <w:snapToGrid w:val="0"/>
              <w:spacing w:line="340" w:lineRule="exact"/>
              <w:contextualSpacing/>
              <w:rPr>
                <w:rFonts w:eastAsia="仿宋_GB2312"/>
                <w:sz w:val="24"/>
              </w:rPr>
            </w:pPr>
            <w:r>
              <w:rPr>
                <w:rFonts w:eastAsia="仿宋_GB2312"/>
                <w:sz w:val="24"/>
              </w:rPr>
              <w:t>□已制定了数字化转型规划及具体的实施计划</w:t>
            </w:r>
          </w:p>
          <w:p>
            <w:pPr>
              <w:snapToGrid w:val="0"/>
              <w:spacing w:line="340" w:lineRule="exact"/>
              <w:contextualSpacing/>
              <w:rPr>
                <w:rFonts w:eastAsia="仿宋_GB2312"/>
                <w:sz w:val="24"/>
              </w:rPr>
            </w:pPr>
            <w:r>
              <w:rPr>
                <w:rFonts w:eastAsia="仿宋_GB2312"/>
                <w:sz w:val="24"/>
              </w:rPr>
              <w:t>□已基于战略规划开展业务模式和管理决策方式的变革实践</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noWrap w:val="0"/>
            <w:vAlign w:val="center"/>
          </w:tcPr>
          <w:p>
            <w:pPr>
              <w:snapToGrid w:val="0"/>
              <w:spacing w:line="340" w:lineRule="exact"/>
              <w:contextualSpacing/>
              <w:rPr>
                <w:rFonts w:eastAsia="仿宋_GB2312"/>
                <w:sz w:val="24"/>
              </w:rPr>
            </w:pPr>
            <w:r>
              <w:rPr>
                <w:rFonts w:eastAsia="仿宋_GB2312"/>
                <w:sz w:val="24"/>
              </w:rPr>
              <w:t>管理机制</w:t>
            </w:r>
          </w:p>
          <w:p>
            <w:pPr>
              <w:snapToGrid w:val="0"/>
              <w:spacing w:line="340" w:lineRule="exact"/>
              <w:contextualSpacing/>
              <w:rPr>
                <w:rFonts w:eastAsia="仿宋_GB2312"/>
                <w:sz w:val="24"/>
              </w:rPr>
            </w:pPr>
            <w:r>
              <w:rPr>
                <w:rFonts w:eastAsia="仿宋_GB2312"/>
                <w:sz w:val="24"/>
              </w:rPr>
              <w:t>（35%）</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19</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企业在设置数字化组织与管理制度等方面采取的措施</w:t>
            </w:r>
          </w:p>
          <w:p>
            <w:pPr>
              <w:snapToGrid w:val="0"/>
              <w:spacing w:line="340" w:lineRule="exact"/>
              <w:contextualSpacing/>
              <w:rPr>
                <w:rFonts w:eastAsia="仿宋_GB2312"/>
                <w:sz w:val="24"/>
              </w:rPr>
            </w:pPr>
            <w:r>
              <w:rPr>
                <w:rFonts w:eastAsia="仿宋_GB2312"/>
                <w:sz w:val="24"/>
              </w:rPr>
              <w:t>□设置专门的数字化人员岗位或部门</w:t>
            </w:r>
          </w:p>
          <w:p>
            <w:pPr>
              <w:snapToGrid w:val="0"/>
              <w:spacing w:line="340" w:lineRule="exact"/>
              <w:contextualSpacing/>
              <w:rPr>
                <w:rFonts w:eastAsia="仿宋_GB2312"/>
                <w:sz w:val="24"/>
              </w:rPr>
            </w:pPr>
            <w:r>
              <w:rPr>
                <w:rFonts w:eastAsia="仿宋_GB2312"/>
                <w:sz w:val="24"/>
              </w:rPr>
              <w:t>□为数字化人才设立专门的绩效薪酬体系</w:t>
            </w:r>
          </w:p>
          <w:p>
            <w:pPr>
              <w:snapToGrid w:val="0"/>
              <w:spacing w:line="340" w:lineRule="exact"/>
              <w:contextualSpacing/>
              <w:rPr>
                <w:rFonts w:eastAsia="仿宋_GB2312"/>
                <w:sz w:val="24"/>
              </w:rPr>
            </w:pPr>
            <w:r>
              <w:rPr>
                <w:rFonts w:eastAsia="仿宋_GB2312"/>
                <w:sz w:val="24"/>
              </w:rPr>
              <w:t>□对数字化收支单独建账核算</w:t>
            </w:r>
          </w:p>
          <w:p>
            <w:pPr>
              <w:snapToGrid w:val="0"/>
              <w:spacing w:line="340" w:lineRule="exact"/>
              <w:contextualSpacing/>
              <w:rPr>
                <w:rFonts w:eastAsia="仿宋_GB2312"/>
                <w:sz w:val="24"/>
              </w:rPr>
            </w:pPr>
            <w:r>
              <w:rPr>
                <w:rFonts w:eastAsia="仿宋_GB2312"/>
                <w:sz w:val="24"/>
              </w:rPr>
              <w:t>□建立数字化信息系统管理相关制度规范</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noWrap w:val="0"/>
            <w:vAlign w:val="center"/>
          </w:tcPr>
          <w:p>
            <w:pPr>
              <w:snapToGrid w:val="0"/>
              <w:spacing w:line="340" w:lineRule="exact"/>
              <w:contextualSpacing/>
              <w:rPr>
                <w:rFonts w:eastAsia="仿宋_GB2312"/>
                <w:sz w:val="24"/>
              </w:rPr>
            </w:pPr>
            <w:r>
              <w:rPr>
                <w:rFonts w:eastAsia="仿宋_GB2312"/>
                <w:sz w:val="24"/>
              </w:rPr>
              <w:t>人才</w:t>
            </w:r>
          </w:p>
          <w:p>
            <w:pPr>
              <w:snapToGrid w:val="0"/>
              <w:spacing w:line="340" w:lineRule="exact"/>
              <w:contextualSpacing/>
              <w:rPr>
                <w:rFonts w:eastAsia="仿宋_GB2312"/>
                <w:sz w:val="24"/>
              </w:rPr>
            </w:pPr>
            <w:r>
              <w:rPr>
                <w:rFonts w:eastAsia="仿宋_GB2312"/>
                <w:sz w:val="24"/>
              </w:rPr>
              <w:t>建设（25%）</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20</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企业在数字化方面培训覆盖的人员范围</w:t>
            </w:r>
          </w:p>
          <w:p>
            <w:pPr>
              <w:snapToGrid w:val="0"/>
              <w:spacing w:line="340" w:lineRule="exact"/>
              <w:contextualSpacing/>
              <w:rPr>
                <w:rFonts w:eastAsia="仿宋_GB2312"/>
                <w:sz w:val="24"/>
              </w:rPr>
            </w:pPr>
            <w:r>
              <w:rPr>
                <w:rFonts w:eastAsia="仿宋_GB2312"/>
                <w:sz w:val="24"/>
              </w:rPr>
              <w:t>□信息化部门员工</w:t>
            </w:r>
          </w:p>
          <w:p>
            <w:pPr>
              <w:snapToGrid w:val="0"/>
              <w:spacing w:line="340" w:lineRule="exact"/>
              <w:contextualSpacing/>
              <w:rPr>
                <w:rFonts w:eastAsia="仿宋_GB2312"/>
                <w:sz w:val="24"/>
              </w:rPr>
            </w:pPr>
            <w:r>
              <w:rPr>
                <w:rFonts w:eastAsia="仿宋_GB2312"/>
                <w:sz w:val="24"/>
              </w:rPr>
              <w:t>□业务部门员工</w:t>
            </w:r>
          </w:p>
          <w:p>
            <w:pPr>
              <w:snapToGrid w:val="0"/>
              <w:spacing w:line="340" w:lineRule="exact"/>
              <w:contextualSpacing/>
              <w:rPr>
                <w:rFonts w:eastAsia="仿宋_GB2312"/>
                <w:sz w:val="24"/>
              </w:rPr>
            </w:pPr>
            <w:r>
              <w:rPr>
                <w:rFonts w:eastAsia="仿宋_GB2312"/>
                <w:sz w:val="24"/>
              </w:rPr>
              <w:t>□企业主要决策人员</w:t>
            </w:r>
          </w:p>
          <w:p>
            <w:pPr>
              <w:snapToGrid w:val="0"/>
              <w:spacing w:line="340" w:lineRule="exact"/>
              <w:contextualSpacing/>
              <w:rPr>
                <w:rFonts w:eastAsia="仿宋_GB2312"/>
                <w:sz w:val="24"/>
              </w:rPr>
            </w:pPr>
            <w:r>
              <w:rPr>
                <w:rFonts w:eastAsia="仿宋_GB2312"/>
                <w:sz w:val="24"/>
              </w:rPr>
              <w:t>□其他员工</w:t>
            </w:r>
          </w:p>
          <w:p>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pPr>
              <w:snapToGrid w:val="0"/>
              <w:spacing w:line="340" w:lineRule="exact"/>
              <w:contextualSpacing/>
              <w:rPr>
                <w:rFonts w:eastAsia="仿宋_GB2312"/>
                <w:sz w:val="24"/>
              </w:rPr>
            </w:pPr>
            <w:r>
              <w:rPr>
                <w:rFonts w:eastAsia="仿宋_GB2312"/>
                <w:sz w:val="24"/>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pPr>
              <w:snapToGrid w:val="0"/>
              <w:spacing w:line="340" w:lineRule="exact"/>
              <w:contextualSpacing/>
              <w:rPr>
                <w:rFonts w:eastAsia="仿宋_GB2312"/>
                <w:sz w:val="24"/>
              </w:rPr>
            </w:pPr>
          </w:p>
        </w:tc>
        <w:tc>
          <w:tcPr>
            <w:tcW w:w="1623" w:type="dxa"/>
            <w:noWrap w:val="0"/>
            <w:vAlign w:val="center"/>
          </w:tcPr>
          <w:p>
            <w:pPr>
              <w:snapToGrid w:val="0"/>
              <w:spacing w:line="340" w:lineRule="exact"/>
              <w:contextualSpacing/>
              <w:rPr>
                <w:rFonts w:eastAsia="仿宋_GB2312"/>
                <w:sz w:val="24"/>
              </w:rPr>
            </w:pPr>
            <w:r>
              <w:rPr>
                <w:rFonts w:eastAsia="仿宋_GB2312"/>
                <w:sz w:val="24"/>
              </w:rPr>
              <w:t>资金</w:t>
            </w:r>
          </w:p>
          <w:p>
            <w:pPr>
              <w:snapToGrid w:val="0"/>
              <w:spacing w:line="340" w:lineRule="exact"/>
              <w:contextualSpacing/>
              <w:rPr>
                <w:rFonts w:eastAsia="仿宋_GB2312"/>
                <w:sz w:val="24"/>
              </w:rPr>
            </w:pPr>
            <w:r>
              <w:rPr>
                <w:rFonts w:eastAsia="仿宋_GB2312"/>
                <w:sz w:val="24"/>
              </w:rPr>
              <w:t>投入（25%）</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21</w:t>
            </w:r>
          </w:p>
        </w:tc>
        <w:tc>
          <w:tcPr>
            <w:tcW w:w="7507" w:type="dxa"/>
            <w:noWrap w:val="0"/>
            <w:vAlign w:val="center"/>
          </w:tcPr>
          <w:p>
            <w:pPr>
              <w:snapToGrid w:val="0"/>
              <w:spacing w:line="340" w:lineRule="exact"/>
              <w:contextualSpacing/>
              <w:rPr>
                <w:rFonts w:eastAsia="仿宋_GB2312"/>
                <w:sz w:val="24"/>
              </w:rPr>
            </w:pPr>
            <w:r>
              <w:rPr>
                <w:rFonts w:eastAsia="仿宋_GB2312"/>
                <w:sz w:val="24"/>
              </w:rPr>
              <w:t>企业上年度数字化投入占营业收入的比重</w:t>
            </w:r>
          </w:p>
          <w:p>
            <w:pPr>
              <w:snapToGrid w:val="0"/>
              <w:spacing w:line="340" w:lineRule="exact"/>
              <w:contextualSpacing/>
              <w:rPr>
                <w:rFonts w:eastAsia="仿宋_GB2312"/>
                <w:sz w:val="24"/>
              </w:rPr>
            </w:pPr>
            <w:r>
              <w:rPr>
                <w:rFonts w:eastAsia="仿宋_GB2312"/>
                <w:sz w:val="24"/>
              </w:rPr>
              <w:t>□小于1%</w:t>
            </w:r>
          </w:p>
          <w:p>
            <w:pPr>
              <w:snapToGrid w:val="0"/>
              <w:spacing w:line="340" w:lineRule="exact"/>
              <w:contextualSpacing/>
              <w:rPr>
                <w:rFonts w:eastAsia="仿宋_GB2312"/>
                <w:sz w:val="24"/>
              </w:rPr>
            </w:pPr>
            <w:r>
              <w:rPr>
                <w:rFonts w:eastAsia="仿宋_GB2312"/>
                <w:sz w:val="24"/>
              </w:rPr>
              <w:t>□[1%,2%)</w:t>
            </w:r>
          </w:p>
          <w:p>
            <w:pPr>
              <w:snapToGrid w:val="0"/>
              <w:spacing w:line="340" w:lineRule="exact"/>
              <w:contextualSpacing/>
              <w:rPr>
                <w:rFonts w:eastAsia="仿宋_GB2312"/>
                <w:sz w:val="24"/>
              </w:rPr>
            </w:pPr>
            <w:r>
              <w:rPr>
                <w:rFonts w:eastAsia="仿宋_GB2312"/>
                <w:sz w:val="24"/>
              </w:rPr>
              <w:t>□[2%,3%)</w:t>
            </w:r>
          </w:p>
          <w:p>
            <w:pPr>
              <w:snapToGrid w:val="0"/>
              <w:spacing w:line="340" w:lineRule="exact"/>
              <w:contextualSpacing/>
              <w:rPr>
                <w:rFonts w:eastAsia="仿宋_GB2312"/>
                <w:sz w:val="24"/>
              </w:rPr>
            </w:pPr>
            <w:r>
              <w:rPr>
                <w:rFonts w:eastAsia="仿宋_GB2312"/>
                <w:sz w:val="24"/>
              </w:rPr>
              <w:t>□[3%,5%]</w:t>
            </w:r>
          </w:p>
          <w:p>
            <w:pPr>
              <w:snapToGrid w:val="0"/>
              <w:spacing w:line="340" w:lineRule="exact"/>
              <w:contextualSpacing/>
              <w:rPr>
                <w:rFonts w:eastAsia="仿宋_GB2312"/>
                <w:sz w:val="24"/>
              </w:rPr>
            </w:pPr>
            <w:r>
              <w:rPr>
                <w:rFonts w:eastAsia="仿宋_GB2312"/>
                <w:sz w:val="24"/>
              </w:rPr>
              <w:t>□大于5%</w:t>
            </w:r>
          </w:p>
        </w:tc>
        <w:tc>
          <w:tcPr>
            <w:tcW w:w="653" w:type="dxa"/>
            <w:noWrap w:val="0"/>
            <w:vAlign w:val="center"/>
          </w:tcPr>
          <w:p>
            <w:pPr>
              <w:snapToGrid w:val="0"/>
              <w:spacing w:line="340" w:lineRule="exact"/>
              <w:contextualSpacing/>
              <w:rPr>
                <w:rFonts w:eastAsia="仿宋_GB2312"/>
                <w:sz w:val="24"/>
              </w:rPr>
            </w:pPr>
            <w:r>
              <w:rPr>
                <w:rFonts w:eastAsia="仿宋_GB2312"/>
                <w:sz w:val="24"/>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restart"/>
            <w:tcBorders>
              <w:top w:val="single" w:color="auto" w:sz="4" w:space="0"/>
            </w:tcBorders>
            <w:noWrap w:val="0"/>
            <w:vAlign w:val="center"/>
          </w:tcPr>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eastAsia="仿宋_GB2312"/>
                <w:sz w:val="24"/>
              </w:rPr>
              <w:t>四、数字化成效（10%）</w:t>
            </w: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p>
          <w:p>
            <w:pPr>
              <w:widowControl w:val="0"/>
              <w:spacing w:before="100" w:line="340" w:lineRule="exact"/>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四、数字化成效（10%）</w:t>
            </w:r>
          </w:p>
        </w:tc>
        <w:tc>
          <w:tcPr>
            <w:tcW w:w="1623" w:type="dxa"/>
            <w:tcBorders>
              <w:top w:val="single" w:color="auto" w:sz="4" w:space="0"/>
            </w:tcBorders>
            <w:noWrap w:val="0"/>
            <w:vAlign w:val="center"/>
          </w:tcPr>
          <w:p>
            <w:pPr>
              <w:snapToGrid w:val="0"/>
              <w:spacing w:line="340" w:lineRule="exact"/>
              <w:contextualSpacing/>
              <w:rPr>
                <w:rFonts w:eastAsia="仿宋_GB2312"/>
                <w:sz w:val="24"/>
              </w:rPr>
            </w:pPr>
            <w:r>
              <w:rPr>
                <w:rFonts w:eastAsia="仿宋_GB2312"/>
                <w:sz w:val="24"/>
              </w:rPr>
              <w:t>产品</w:t>
            </w:r>
          </w:p>
          <w:p>
            <w:pPr>
              <w:snapToGrid w:val="0"/>
              <w:spacing w:line="340" w:lineRule="exact"/>
              <w:contextualSpacing/>
              <w:rPr>
                <w:rFonts w:eastAsia="仿宋_GB2312"/>
                <w:sz w:val="24"/>
              </w:rPr>
            </w:pPr>
            <w:r>
              <w:rPr>
                <w:rFonts w:eastAsia="仿宋_GB2312"/>
                <w:sz w:val="24"/>
              </w:rPr>
              <w:t>质量</w:t>
            </w:r>
          </w:p>
          <w:p>
            <w:pPr>
              <w:snapToGrid w:val="0"/>
              <w:spacing w:line="340" w:lineRule="exact"/>
              <w:contextualSpacing/>
              <w:rPr>
                <w:rFonts w:eastAsia="仿宋_GB2312"/>
                <w:sz w:val="24"/>
              </w:rPr>
            </w:pPr>
            <w:r>
              <w:rPr>
                <w:rFonts w:eastAsia="仿宋_GB2312"/>
                <w:sz w:val="24"/>
              </w:rPr>
              <w:t>（30%）</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22</w:t>
            </w:r>
          </w:p>
        </w:tc>
        <w:tc>
          <w:tcPr>
            <w:tcW w:w="7507" w:type="dxa"/>
            <w:tcBorders>
              <w:top w:val="single" w:color="auto" w:sz="4" w:space="0"/>
            </w:tcBorders>
            <w:noWrap w:val="0"/>
            <w:vAlign w:val="center"/>
          </w:tcPr>
          <w:p>
            <w:pPr>
              <w:snapToGrid w:val="0"/>
              <w:spacing w:line="340" w:lineRule="exact"/>
              <w:contextualSpacing/>
              <w:rPr>
                <w:rFonts w:eastAsia="仿宋_GB2312"/>
                <w:sz w:val="24"/>
              </w:rPr>
            </w:pPr>
            <w:r>
              <w:rPr>
                <w:rFonts w:eastAsia="仿宋_GB2312"/>
                <w:sz w:val="24"/>
              </w:rPr>
              <w:t>企业上年度产品合格率</w:t>
            </w:r>
          </w:p>
          <w:p>
            <w:pPr>
              <w:snapToGrid w:val="0"/>
              <w:spacing w:line="340" w:lineRule="exact"/>
              <w:contextualSpacing/>
              <w:rPr>
                <w:rFonts w:eastAsia="仿宋_GB2312"/>
                <w:sz w:val="24"/>
              </w:rPr>
            </w:pPr>
            <w:r>
              <w:rPr>
                <w:rFonts w:eastAsia="仿宋_GB2312"/>
                <w:sz w:val="24"/>
              </w:rPr>
              <w:t>□明显低于行业平均水平</w:t>
            </w:r>
          </w:p>
          <w:p>
            <w:pPr>
              <w:snapToGrid w:val="0"/>
              <w:spacing w:line="340" w:lineRule="exact"/>
              <w:contextualSpacing/>
              <w:rPr>
                <w:rFonts w:eastAsia="仿宋_GB2312"/>
                <w:sz w:val="24"/>
              </w:rPr>
            </w:pPr>
            <w:r>
              <w:rPr>
                <w:rFonts w:eastAsia="仿宋_GB2312"/>
                <w:sz w:val="24"/>
              </w:rPr>
              <w:t>□略低于行业平均水平</w:t>
            </w:r>
          </w:p>
          <w:p>
            <w:pPr>
              <w:snapToGrid w:val="0"/>
              <w:spacing w:line="340" w:lineRule="exact"/>
              <w:contextualSpacing/>
              <w:rPr>
                <w:rFonts w:eastAsia="仿宋_GB2312"/>
                <w:sz w:val="24"/>
              </w:rPr>
            </w:pPr>
            <w:r>
              <w:rPr>
                <w:rFonts w:eastAsia="仿宋_GB2312"/>
                <w:sz w:val="24"/>
              </w:rPr>
              <w:t>□与行业平均水平相当</w:t>
            </w:r>
          </w:p>
          <w:p>
            <w:pPr>
              <w:snapToGrid w:val="0"/>
              <w:spacing w:line="340" w:lineRule="exact"/>
              <w:contextualSpacing/>
              <w:rPr>
                <w:rFonts w:eastAsia="仿宋_GB2312"/>
                <w:sz w:val="24"/>
              </w:rPr>
            </w:pPr>
            <w:r>
              <w:rPr>
                <w:rFonts w:eastAsia="仿宋_GB2312"/>
                <w:sz w:val="24"/>
              </w:rPr>
              <w:t>□略高于行业平均水平</w:t>
            </w:r>
          </w:p>
          <w:p>
            <w:pPr>
              <w:snapToGrid w:val="0"/>
              <w:spacing w:line="340" w:lineRule="exact"/>
              <w:contextualSpacing/>
              <w:rPr>
                <w:rFonts w:eastAsia="仿宋_GB2312"/>
                <w:sz w:val="24"/>
              </w:rPr>
            </w:pPr>
            <w:r>
              <w:rPr>
                <w:rFonts w:eastAsia="仿宋_GB2312"/>
                <w:sz w:val="24"/>
              </w:rPr>
              <w:t>□明显高于行业平均水平</w:t>
            </w:r>
          </w:p>
          <w:p>
            <w:pPr>
              <w:snapToGrid w:val="0"/>
              <w:spacing w:line="340" w:lineRule="exact"/>
              <w:contextualSpacing/>
              <w:rPr>
                <w:rFonts w:eastAsia="仿宋_GB2312"/>
                <w:sz w:val="24"/>
              </w:rPr>
            </w:pPr>
            <w:r>
              <w:rPr>
                <w:rFonts w:eastAsia="仿宋_GB2312"/>
                <w:sz w:val="24"/>
              </w:rPr>
              <w:t>具体数值为[]</w:t>
            </w:r>
          </w:p>
        </w:tc>
        <w:tc>
          <w:tcPr>
            <w:tcW w:w="653" w:type="dxa"/>
            <w:tcBorders>
              <w:top w:val="single" w:color="auto" w:sz="4" w:space="0"/>
            </w:tcBorders>
            <w:noWrap w:val="0"/>
            <w:vAlign w:val="center"/>
          </w:tcPr>
          <w:p>
            <w:pPr>
              <w:snapToGrid w:val="0"/>
              <w:spacing w:line="340" w:lineRule="exact"/>
              <w:contextualSpacing/>
              <w:rPr>
                <w:rFonts w:eastAsia="仿宋_GB2312"/>
                <w:sz w:val="24"/>
              </w:rPr>
            </w:pPr>
            <w:r>
              <w:rPr>
                <w:rFonts w:eastAsia="仿宋_GB2312"/>
                <w:sz w:val="24"/>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1624" w:type="dxa"/>
            <w:vMerge w:val="continue"/>
            <w:tcBorders>
              <w:top w:val="single" w:color="auto" w:sz="4" w:space="0"/>
              <w:bottom w:val="single" w:color="auto" w:sz="4" w:space="0"/>
            </w:tcBorders>
            <w:noWrap w:val="0"/>
            <w:vAlign w:val="center"/>
          </w:tcPr>
          <w:p>
            <w:pPr>
              <w:snapToGrid w:val="0"/>
              <w:spacing w:line="340" w:lineRule="exact"/>
              <w:contextualSpacing/>
              <w:rPr>
                <w:rFonts w:eastAsia="仿宋_GB2312"/>
                <w:sz w:val="24"/>
              </w:rPr>
            </w:pPr>
          </w:p>
        </w:tc>
        <w:tc>
          <w:tcPr>
            <w:tcW w:w="1623" w:type="dxa"/>
            <w:tcBorders>
              <w:top w:val="single" w:color="auto" w:sz="4" w:space="0"/>
              <w:bottom w:val="single" w:color="auto" w:sz="4" w:space="0"/>
            </w:tcBorders>
            <w:noWrap w:val="0"/>
            <w:vAlign w:val="center"/>
          </w:tcPr>
          <w:p>
            <w:pPr>
              <w:snapToGrid w:val="0"/>
              <w:spacing w:line="340" w:lineRule="exact"/>
              <w:contextualSpacing/>
              <w:rPr>
                <w:rFonts w:eastAsia="仿宋_GB2312"/>
                <w:sz w:val="24"/>
              </w:rPr>
            </w:pPr>
            <w:r>
              <w:rPr>
                <w:rFonts w:eastAsia="仿宋_GB2312"/>
                <w:sz w:val="24"/>
              </w:rPr>
              <w:t>生产</w:t>
            </w:r>
          </w:p>
          <w:p>
            <w:pPr>
              <w:snapToGrid w:val="0"/>
              <w:spacing w:line="340" w:lineRule="exact"/>
              <w:contextualSpacing/>
              <w:rPr>
                <w:rFonts w:eastAsia="仿宋_GB2312"/>
                <w:sz w:val="24"/>
              </w:rPr>
            </w:pPr>
            <w:r>
              <w:rPr>
                <w:rFonts w:eastAsia="仿宋_GB2312"/>
                <w:sz w:val="24"/>
              </w:rPr>
              <w:t>效率</w:t>
            </w:r>
          </w:p>
          <w:p>
            <w:pPr>
              <w:snapToGrid w:val="0"/>
              <w:spacing w:line="340" w:lineRule="exact"/>
              <w:contextualSpacing/>
              <w:rPr>
                <w:rFonts w:eastAsia="仿宋_GB2312"/>
                <w:sz w:val="24"/>
              </w:rPr>
            </w:pPr>
            <w:r>
              <w:rPr>
                <w:rFonts w:eastAsia="仿宋_GB2312"/>
                <w:sz w:val="24"/>
              </w:rPr>
              <w:t>（40%）</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r>
              <w:rPr>
                <w:rFonts w:eastAsia="仿宋_GB2312"/>
                <w:sz w:val="24"/>
              </w:rPr>
              <w:t>23</w:t>
            </w:r>
          </w:p>
        </w:tc>
        <w:tc>
          <w:tcPr>
            <w:tcW w:w="7507" w:type="dxa"/>
            <w:tcBorders>
              <w:top w:val="single" w:color="auto" w:sz="4" w:space="0"/>
              <w:bottom w:val="single" w:color="auto" w:sz="4" w:space="0"/>
            </w:tcBorders>
            <w:noWrap w:val="0"/>
            <w:vAlign w:val="center"/>
          </w:tcPr>
          <w:p>
            <w:pPr>
              <w:snapToGrid w:val="0"/>
              <w:spacing w:line="340" w:lineRule="exact"/>
              <w:contextualSpacing/>
            </w:pPr>
            <w:r>
              <w:t>企业上年度人均营业收入</w:t>
            </w:r>
          </w:p>
          <w:p>
            <w:pPr>
              <w:snapToGrid w:val="0"/>
              <w:spacing w:line="340" w:lineRule="exact"/>
              <w:contextualSpacing/>
            </w:pPr>
            <w:r>
              <w:t>□明显低于行业平均水平</w:t>
            </w:r>
          </w:p>
          <w:p>
            <w:pPr>
              <w:snapToGrid w:val="0"/>
              <w:spacing w:line="340" w:lineRule="exact"/>
              <w:contextualSpacing/>
            </w:pPr>
            <w:r>
              <w:t>□略低于行业平均水平</w:t>
            </w:r>
          </w:p>
          <w:p>
            <w:pPr>
              <w:snapToGrid w:val="0"/>
              <w:spacing w:line="340" w:lineRule="exact"/>
              <w:contextualSpacing/>
            </w:pPr>
            <w:r>
              <w:t>□与行业平均水平相当</w:t>
            </w:r>
          </w:p>
          <w:p>
            <w:pPr>
              <w:snapToGrid w:val="0"/>
              <w:spacing w:line="340" w:lineRule="exact"/>
              <w:contextualSpacing/>
            </w:pPr>
            <w:r>
              <w:t>□略高于行业平均水平</w:t>
            </w:r>
          </w:p>
          <w:p>
            <w:pPr>
              <w:snapToGrid w:val="0"/>
              <w:spacing w:line="340" w:lineRule="exact"/>
              <w:contextualSpacing/>
            </w:pPr>
            <w:r>
              <w:t>□明显高于行业平均水平</w:t>
            </w:r>
          </w:p>
          <w:p>
            <w:pPr>
              <w:snapToGrid w:val="0"/>
              <w:spacing w:line="340" w:lineRule="exact"/>
              <w:contextualSpacing/>
              <w:rPr>
                <w:rFonts w:hint="eastAsia"/>
              </w:rPr>
            </w:pPr>
            <w:r>
              <w:t>具体数值为[]</w:t>
            </w:r>
            <w:r>
              <w:rPr>
                <w:rFonts w:hint="eastAsia"/>
              </w:rPr>
              <w:t xml:space="preserve"> </w:t>
            </w:r>
          </w:p>
        </w:tc>
        <w:tc>
          <w:tcPr>
            <w:tcW w:w="653" w:type="dxa"/>
            <w:tcBorders>
              <w:top w:val="single" w:color="auto" w:sz="4" w:space="0"/>
              <w:bottom w:val="single" w:color="auto" w:sz="4" w:space="0"/>
            </w:tcBorders>
            <w:noWrap w:val="0"/>
            <w:vAlign w:val="center"/>
          </w:tcPr>
          <w:p>
            <w:pPr>
              <w:snapToGrid w:val="0"/>
              <w:spacing w:line="340" w:lineRule="exact"/>
              <w:contextualSpacing/>
              <w:rPr>
                <w:rFonts w:eastAsia="仿宋_GB2312"/>
                <w:sz w:val="24"/>
              </w:rPr>
            </w:pPr>
            <w:r>
              <w:rPr>
                <w:rFonts w:eastAsia="仿宋_GB2312"/>
                <w:sz w:val="24"/>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tcBorders>
              <w:top w:val="single" w:color="auto" w:sz="4" w:space="0"/>
              <w:bottom w:val="single" w:color="auto" w:sz="4" w:space="0"/>
            </w:tcBorders>
            <w:noWrap w:val="0"/>
            <w:vAlign w:val="center"/>
          </w:tcPr>
          <w:p>
            <w:pPr>
              <w:snapToGrid w:val="0"/>
              <w:spacing w:line="340" w:lineRule="exact"/>
              <w:contextualSpacing/>
              <w:rPr>
                <w:rFonts w:eastAsia="仿宋_GB2312"/>
                <w:sz w:val="24"/>
              </w:rPr>
            </w:pPr>
          </w:p>
        </w:tc>
        <w:tc>
          <w:tcPr>
            <w:tcW w:w="1623" w:type="dxa"/>
            <w:tcBorders>
              <w:top w:val="single" w:color="auto" w:sz="4" w:space="0"/>
              <w:bottom w:val="single" w:color="auto" w:sz="4" w:space="0"/>
            </w:tcBorders>
            <w:noWrap w:val="0"/>
            <w:vAlign w:val="center"/>
          </w:tcPr>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eastAsia="仿宋_GB2312"/>
                <w:sz w:val="24"/>
              </w:rPr>
              <w:t>价值</w:t>
            </w:r>
          </w:p>
          <w:p>
            <w:pPr>
              <w:snapToGrid w:val="0"/>
              <w:spacing w:line="340" w:lineRule="exact"/>
              <w:contextualSpacing/>
              <w:rPr>
                <w:rFonts w:eastAsia="仿宋_GB2312"/>
                <w:sz w:val="24"/>
              </w:rPr>
            </w:pPr>
            <w:r>
              <w:rPr>
                <w:rFonts w:eastAsia="仿宋_GB2312"/>
                <w:sz w:val="24"/>
              </w:rPr>
              <w:t>效益</w:t>
            </w:r>
          </w:p>
          <w:p>
            <w:pPr>
              <w:snapToGrid w:val="0"/>
              <w:spacing w:line="340" w:lineRule="exact"/>
              <w:contextualSpacing/>
              <w:rPr>
                <w:rFonts w:eastAsia="仿宋_GB2312"/>
                <w:sz w:val="24"/>
              </w:rPr>
            </w:pPr>
            <w:r>
              <w:rPr>
                <w:rFonts w:eastAsia="仿宋_GB2312"/>
                <w:sz w:val="24"/>
              </w:rPr>
              <w:t>（30%）</w:t>
            </w:r>
          </w:p>
        </w:tc>
        <w:tc>
          <w:tcPr>
            <w:tcW w:w="1559" w:type="dxa"/>
            <w:tcBorders>
              <w:top w:val="nil"/>
              <w:left w:val="single" w:color="auto" w:sz="4" w:space="0"/>
              <w:bottom w:val="single" w:color="auto" w:sz="4" w:space="0"/>
              <w:right w:val="single" w:color="auto" w:sz="4" w:space="0"/>
            </w:tcBorders>
            <w:noWrap w:val="0"/>
            <w:vAlign w:val="center"/>
          </w:tcPr>
          <w:p>
            <w:pPr>
              <w:snapToGrid w:val="0"/>
              <w:spacing w:line="340" w:lineRule="exact"/>
              <w:contextualSpacing/>
              <w:rPr>
                <w:rFonts w:eastAsia="仿宋_GB2312"/>
                <w:sz w:val="24"/>
              </w:rPr>
            </w:pPr>
          </w:p>
          <w:p>
            <w:pPr>
              <w:snapToGrid w:val="0"/>
              <w:spacing w:line="340" w:lineRule="exact"/>
              <w:contextualSpacing/>
              <w:rPr>
                <w:rFonts w:eastAsia="仿宋_GB2312"/>
                <w:sz w:val="24"/>
              </w:rPr>
            </w:pPr>
          </w:p>
          <w:p>
            <w:pPr>
              <w:snapToGrid w:val="0"/>
              <w:spacing w:line="340" w:lineRule="exact"/>
              <w:contextualSpacing/>
              <w:rPr>
                <w:rFonts w:eastAsia="仿宋_GB2312"/>
                <w:sz w:val="24"/>
              </w:rPr>
            </w:pPr>
            <w:r>
              <w:rPr>
                <w:rFonts w:hint="eastAsia" w:eastAsia="仿宋_GB2312"/>
                <w:sz w:val="24"/>
              </w:rPr>
              <w:t xml:space="preserve">                                                                                         </w:t>
            </w:r>
            <w:r>
              <w:rPr>
                <w:rFonts w:eastAsia="仿宋_GB2312"/>
                <w:sz w:val="24"/>
              </w:rPr>
              <w:t>24</w:t>
            </w:r>
          </w:p>
        </w:tc>
        <w:tc>
          <w:tcPr>
            <w:tcW w:w="7507" w:type="dxa"/>
            <w:tcBorders>
              <w:top w:val="single" w:color="auto" w:sz="4" w:space="0"/>
              <w:bottom w:val="single" w:color="auto" w:sz="4" w:space="0"/>
            </w:tcBorders>
            <w:noWrap w:val="0"/>
            <w:vAlign w:val="center"/>
          </w:tcPr>
          <w:p>
            <w:pPr>
              <w:snapToGrid w:val="0"/>
              <w:spacing w:line="340" w:lineRule="exact"/>
              <w:contextualSpacing/>
              <w:rPr>
                <w:rFonts w:eastAsia="仿宋_GB2312"/>
                <w:sz w:val="24"/>
              </w:rPr>
            </w:pPr>
            <w:r>
              <w:rPr>
                <w:rFonts w:eastAsia="仿宋_GB2312"/>
                <w:sz w:val="24"/>
              </w:rPr>
              <w:t>企业上年度每百元营业收入中的成本</w:t>
            </w:r>
          </w:p>
          <w:p>
            <w:pPr>
              <w:snapToGrid w:val="0"/>
              <w:spacing w:line="340" w:lineRule="exact"/>
              <w:contextualSpacing/>
              <w:rPr>
                <w:rFonts w:eastAsia="仿宋_GB2312"/>
                <w:sz w:val="24"/>
              </w:rPr>
            </w:pPr>
            <w:r>
              <w:rPr>
                <w:rFonts w:eastAsia="仿宋_GB2312"/>
                <w:sz w:val="24"/>
              </w:rPr>
              <w:t>□明显低于行业平均水平</w:t>
            </w:r>
          </w:p>
          <w:p>
            <w:pPr>
              <w:snapToGrid w:val="0"/>
              <w:spacing w:line="340" w:lineRule="exact"/>
              <w:contextualSpacing/>
              <w:rPr>
                <w:rFonts w:eastAsia="仿宋_GB2312"/>
                <w:sz w:val="24"/>
              </w:rPr>
            </w:pPr>
            <w:r>
              <w:rPr>
                <w:rFonts w:eastAsia="仿宋_GB2312"/>
                <w:sz w:val="24"/>
              </w:rPr>
              <w:t>□略低于行业平均水平</w:t>
            </w:r>
          </w:p>
          <w:p>
            <w:pPr>
              <w:snapToGrid w:val="0"/>
              <w:spacing w:line="340" w:lineRule="exact"/>
              <w:contextualSpacing/>
              <w:rPr>
                <w:rFonts w:eastAsia="仿宋_GB2312"/>
                <w:sz w:val="24"/>
              </w:rPr>
            </w:pPr>
            <w:r>
              <w:rPr>
                <w:rFonts w:eastAsia="仿宋_GB2312"/>
                <w:sz w:val="24"/>
              </w:rPr>
              <w:t>□与行业平均水平相当</w:t>
            </w:r>
          </w:p>
          <w:p>
            <w:pPr>
              <w:snapToGrid w:val="0"/>
              <w:spacing w:line="340" w:lineRule="exact"/>
              <w:contextualSpacing/>
              <w:rPr>
                <w:rFonts w:eastAsia="仿宋_GB2312"/>
                <w:sz w:val="24"/>
              </w:rPr>
            </w:pPr>
            <w:r>
              <w:rPr>
                <w:rFonts w:eastAsia="仿宋_GB2312"/>
                <w:sz w:val="24"/>
              </w:rPr>
              <w:t>□略高于行业平均水平</w:t>
            </w:r>
          </w:p>
          <w:p>
            <w:pPr>
              <w:snapToGrid w:val="0"/>
              <w:spacing w:line="340" w:lineRule="exact"/>
              <w:contextualSpacing/>
              <w:rPr>
                <w:rFonts w:eastAsia="仿宋_GB2312"/>
                <w:sz w:val="24"/>
              </w:rPr>
            </w:pPr>
            <w:r>
              <w:rPr>
                <w:rFonts w:eastAsia="仿宋_GB2312"/>
                <w:sz w:val="24"/>
              </w:rPr>
              <w:t>□明显高于行业平均水平</w:t>
            </w:r>
          </w:p>
          <w:p>
            <w:pPr>
              <w:snapToGrid w:val="0"/>
              <w:spacing w:line="340" w:lineRule="exact"/>
              <w:contextualSpacing/>
              <w:rPr>
                <w:rFonts w:eastAsia="仿宋_GB2312"/>
                <w:sz w:val="24"/>
              </w:rPr>
            </w:pPr>
            <w:r>
              <w:rPr>
                <w:rFonts w:eastAsia="仿宋_GB2312"/>
                <w:sz w:val="24"/>
              </w:rPr>
              <w:t>具体数值为[]</w:t>
            </w:r>
          </w:p>
        </w:tc>
        <w:tc>
          <w:tcPr>
            <w:tcW w:w="653" w:type="dxa"/>
            <w:tcBorders>
              <w:top w:val="single" w:color="auto" w:sz="4" w:space="0"/>
              <w:bottom w:val="single" w:color="auto" w:sz="4" w:space="0"/>
            </w:tcBorders>
            <w:noWrap w:val="0"/>
            <w:vAlign w:val="center"/>
          </w:tcPr>
          <w:p>
            <w:pPr>
              <w:snapToGrid w:val="0"/>
              <w:spacing w:line="340" w:lineRule="exact"/>
              <w:contextualSpacing/>
              <w:rPr>
                <w:rFonts w:eastAsia="仿宋_GB2312"/>
                <w:sz w:val="24"/>
              </w:rPr>
            </w:pPr>
            <w:r>
              <w:rPr>
                <w:rFonts w:eastAsia="仿宋_GB2312"/>
                <w:sz w:val="24"/>
              </w:rPr>
              <w:t>单选</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YaHei UI">
    <w:altName w:val="Droid Sans Fallback"/>
    <w:panose1 w:val="020B0503020204020204"/>
    <w:charset w:val="86"/>
    <w:family w:val="swiss"/>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YzhhZmRkNWYyNmE3MmFhYTQ5YjZlMDNiMmI3MzkifQ=="/>
    <w:docVar w:name="KSO_WPS_MARK_KEY" w:val="9579a603-e024-4dc7-ac68-e26a6d02222a"/>
  </w:docVars>
  <w:rsids>
    <w:rsidRoot w:val="6C084831"/>
    <w:rsid w:val="118B4435"/>
    <w:rsid w:val="65D830C0"/>
    <w:rsid w:val="6C084831"/>
    <w:rsid w:val="FD173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next w:val="1"/>
    <w:qFormat/>
    <w:uiPriority w:val="0"/>
    <w:rPr>
      <w:rFonts w:ascii="Microsoft YaHei UI" w:eastAsia="Microsoft YaHei UI"/>
      <w:sz w:val="18"/>
      <w:szCs w:val="18"/>
    </w:rPr>
  </w:style>
  <w:style w:type="paragraph" w:styleId="3">
    <w:name w:val="Body Text"/>
    <w:basedOn w:val="1"/>
    <w:next w:val="4"/>
    <w:qFormat/>
    <w:uiPriority w:val="0"/>
    <w:pPr>
      <w:spacing w:before="100" w:line="360" w:lineRule="exact"/>
      <w:jc w:val="center"/>
    </w:pPr>
  </w:style>
  <w:style w:type="paragraph" w:styleId="4">
    <w:name w:val="Title"/>
    <w:basedOn w:val="1"/>
    <w:next w:val="1"/>
    <w:qFormat/>
    <w:uiPriority w:val="10"/>
    <w:pPr>
      <w:widowControl w:val="0"/>
      <w:spacing w:before="240" w:after="60"/>
      <w:jc w:val="center"/>
      <w:outlineLvl w:val="0"/>
    </w:pPr>
    <w:rPr>
      <w:rFonts w:ascii="Cambria" w:hAnsi="Cambria" w:eastAsia="宋体" w:cs="Times New Roman"/>
      <w:b/>
      <w:bCs/>
      <w:kern w:val="2"/>
      <w:sz w:val="21"/>
      <w:szCs w:val="3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2024-04-29T15:08:00Z</dcterms:created>
  <dc:creator>豆町</dc:creator>
  <cp:lastModifiedBy>程慧敏</cp:lastModifiedBy>
  <dcterms:modified xsi:type="dcterms:W3CDTF">2024-05-07T17:46:14Z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29121043E23B4526BF11E6F6FD7B9F34_11</vt:lpwstr>
  </property>
</Properties>
</file>