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-315" w:rightChars="-150"/>
        <w:rPr>
          <w:rFonts w:hint="eastAsia" w:ascii="黑体" w:hAnsi="宋体" w:eastAsia="黑体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宋体" w:eastAsia="黑体"/>
          <w:bCs/>
          <w:sz w:val="32"/>
          <w:szCs w:val="32"/>
          <w:highlight w:val="none"/>
        </w:rPr>
        <w:t>附件</w:t>
      </w:r>
      <w:r>
        <w:rPr>
          <w:rFonts w:hint="eastAsia" w:ascii="黑体" w:hAnsi="宋体" w:eastAsia="黑体"/>
          <w:bCs/>
          <w:sz w:val="32"/>
          <w:szCs w:val="32"/>
          <w:highlight w:val="none"/>
          <w:lang w:val="en-US" w:eastAsia="zh-CN"/>
        </w:rPr>
        <w:t>2</w:t>
      </w:r>
    </w:p>
    <w:p>
      <w:pPr>
        <w:spacing w:line="560" w:lineRule="exact"/>
        <w:ind w:left="-315" w:leftChars="-150" w:right="-315" w:rightChars="-150"/>
        <w:jc w:val="center"/>
        <w:rPr>
          <w:rFonts w:hint="eastAsia" w:ascii="宋体" w:hAnsi="宋体" w:eastAsia="宋体"/>
          <w:b/>
          <w:sz w:val="36"/>
          <w:szCs w:val="36"/>
          <w:highlight w:val="none"/>
          <w:lang w:eastAsia="zh-CN"/>
        </w:rPr>
      </w:pPr>
      <w:r>
        <w:rPr>
          <w:rFonts w:hint="eastAsia" w:ascii="宋体" w:hAnsi="宋体"/>
          <w:b/>
          <w:sz w:val="36"/>
          <w:szCs w:val="36"/>
          <w:highlight w:val="none"/>
          <w:lang w:eastAsia="zh-CN"/>
        </w:rPr>
        <w:t>重</w:t>
      </w:r>
      <w:r>
        <w:rPr>
          <w:rFonts w:hint="eastAsia" w:ascii="宋体" w:hAnsi="宋体" w:eastAsia="宋体"/>
          <w:b/>
          <w:sz w:val="36"/>
          <w:szCs w:val="36"/>
          <w:highlight w:val="none"/>
          <w:lang w:val="en-US" w:eastAsia="zh-CN"/>
        </w:rPr>
        <w:t>要</w:t>
      </w: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电力</w:t>
      </w:r>
      <w:r>
        <w:rPr>
          <w:rFonts w:hint="eastAsia" w:ascii="宋体" w:hAnsi="宋体" w:eastAsia="宋体"/>
          <w:b/>
          <w:sz w:val="36"/>
          <w:szCs w:val="36"/>
          <w:highlight w:val="none"/>
          <w:lang w:val="en-US" w:eastAsia="zh-CN"/>
        </w:rPr>
        <w:t>用户申报表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3105"/>
        <w:gridCol w:w="1201"/>
        <w:gridCol w:w="32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noWrap w:val="0"/>
            <w:vAlign w:val="top"/>
          </w:tcPr>
          <w:p>
            <w:pPr>
              <w:spacing w:line="560" w:lineRule="exact"/>
              <w:ind w:right="-315" w:rightChars="-15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>名称</w:t>
            </w:r>
          </w:p>
        </w:tc>
        <w:tc>
          <w:tcPr>
            <w:tcW w:w="3105" w:type="dxa"/>
            <w:noWrap w:val="0"/>
            <w:vAlign w:val="top"/>
          </w:tcPr>
          <w:p>
            <w:pPr>
              <w:spacing w:line="560" w:lineRule="exact"/>
              <w:ind w:left="-315" w:leftChars="-150" w:right="-315" w:rightChars="-150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201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right="-315" w:rightChars="-15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用电地址</w:t>
            </w:r>
          </w:p>
        </w:tc>
        <w:tc>
          <w:tcPr>
            <w:tcW w:w="323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-315" w:leftChars="-150" w:right="-315" w:rightChars="-150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right="-55" w:rightChars="-26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重</w:t>
            </w:r>
          </w:p>
          <w:p>
            <w:pPr>
              <w:spacing w:line="560" w:lineRule="exact"/>
              <w:ind w:right="-55" w:rightChars="-26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要</w:t>
            </w:r>
          </w:p>
          <w:p>
            <w:pPr>
              <w:spacing w:line="560" w:lineRule="exact"/>
              <w:ind w:right="-55" w:rightChars="-26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性</w:t>
            </w:r>
          </w:p>
          <w:p>
            <w:pPr>
              <w:spacing w:line="560" w:lineRule="exact"/>
              <w:ind w:right="-55" w:rightChars="-26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等</w:t>
            </w:r>
          </w:p>
          <w:p>
            <w:pPr>
              <w:spacing w:line="560" w:lineRule="exact"/>
              <w:ind w:right="-55" w:rightChars="-26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级</w:t>
            </w:r>
          </w:p>
          <w:p>
            <w:pPr>
              <w:spacing w:line="560" w:lineRule="exact"/>
              <w:ind w:right="-55" w:rightChars="-26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说</w:t>
            </w:r>
          </w:p>
          <w:p>
            <w:pPr>
              <w:spacing w:line="560" w:lineRule="exact"/>
              <w:ind w:right="-55" w:rightChars="-26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明</w:t>
            </w:r>
          </w:p>
        </w:tc>
        <w:tc>
          <w:tcPr>
            <w:tcW w:w="7541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right="-55" w:rightChars="-26" w:firstLine="421" w:firstLineChars="20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Cs w:val="21"/>
                <w:highlight w:val="none"/>
                <w:lang w:val="en-US" w:eastAsia="zh-CN"/>
              </w:rPr>
              <w:t>特级重要电力用户</w:t>
            </w:r>
            <w:r>
              <w:rPr>
                <w:rFonts w:hint="eastAsia" w:ascii="宋体" w:hAnsi="宋体"/>
                <w:b w:val="0"/>
                <w:bCs w:val="0"/>
                <w:szCs w:val="21"/>
                <w:highlight w:val="none"/>
                <w:lang w:val="en-US" w:eastAsia="zh-CN"/>
              </w:rPr>
              <w:t>是指在管理国家事务中具有特别重要的作用，供电中断将可能危害国家安全的电力用户</w:t>
            </w:r>
            <w:r>
              <w:rPr>
                <w:rFonts w:hint="eastAsia" w:ascii="宋体" w:hAnsi="宋体"/>
                <w:b w:val="0"/>
                <w:bCs w:val="0"/>
                <w:szCs w:val="21"/>
                <w:highlight w:val="none"/>
              </w:rPr>
              <w:t>。</w:t>
            </w:r>
            <w:r>
              <w:rPr>
                <w:rFonts w:hint="eastAsia" w:ascii="宋体" w:hAnsi="宋体"/>
                <w:szCs w:val="21"/>
                <w:highlight w:val="none"/>
              </w:rPr>
              <w:t>特级重要电力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应采用多电源供电</w:t>
            </w:r>
            <w:r>
              <w:rPr>
                <w:rFonts w:hint="eastAsia" w:ascii="宋体" w:hAnsi="宋体"/>
                <w:szCs w:val="21"/>
                <w:highlight w:val="none"/>
              </w:rPr>
              <w:t>。</w:t>
            </w:r>
          </w:p>
          <w:p>
            <w:pPr>
              <w:spacing w:line="520" w:lineRule="exact"/>
              <w:ind w:right="-55" w:rightChars="-26" w:firstLine="421" w:firstLineChars="20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Cs w:val="21"/>
                <w:highlight w:val="none"/>
              </w:rPr>
              <w:t>一级重要电力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>是指供电中断将可能产生下列后果之一的电力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>：1）直接引发人身伤亡的；2）造成环境严重污染的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highlight w:val="none"/>
              </w:rPr>
              <w:t>3）造成中毒、爆炸或火灾的；4）造成重大政治影响的；5）造成重大经济损失的；6）造成较大范围社会公共秩序严重混乱的。一级重要电力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>至少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应采用双电源</w:t>
            </w:r>
            <w:r>
              <w:rPr>
                <w:rFonts w:hint="eastAsia" w:ascii="宋体" w:hAnsi="宋体"/>
                <w:szCs w:val="21"/>
                <w:highlight w:val="none"/>
              </w:rPr>
              <w:t>供电。</w:t>
            </w:r>
          </w:p>
          <w:p>
            <w:pPr>
              <w:spacing w:line="520" w:lineRule="exact"/>
              <w:ind w:right="-55" w:rightChars="-26" w:firstLine="421" w:firstLineChars="20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Cs w:val="21"/>
                <w:highlight w:val="none"/>
              </w:rPr>
              <w:t>二级重要电力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>是指供电中断将可能产生下列后果之一的电力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>：1）造成较大环境污染的；2）造成较大政治影响的；3）造成较大经济损失的；4）造成一定范围社会公共秩序严重混乱的。二级重要电力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>至少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应采用双回路供电</w:t>
            </w:r>
            <w:r>
              <w:rPr>
                <w:rFonts w:hint="eastAsia" w:ascii="宋体" w:hAnsi="宋体"/>
                <w:szCs w:val="21"/>
                <w:highlight w:val="none"/>
              </w:rPr>
              <w:t>。</w:t>
            </w:r>
          </w:p>
          <w:p>
            <w:pPr>
              <w:spacing w:line="520" w:lineRule="exact"/>
              <w:ind w:right="-55" w:rightChars="-26" w:firstLine="421" w:firstLineChars="20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Cs w:val="21"/>
                <w:highlight w:val="none"/>
              </w:rPr>
              <w:t>临时性重要电力</w:t>
            </w:r>
            <w:r>
              <w:rPr>
                <w:rFonts w:hint="eastAsia" w:ascii="宋体" w:hAnsi="宋体"/>
                <w:b/>
                <w:bCs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b w:val="0"/>
                <w:bCs w:val="0"/>
                <w:szCs w:val="21"/>
                <w:highlight w:val="none"/>
              </w:rPr>
              <w:t>是指需要临时特殊供电保障的电力</w:t>
            </w:r>
            <w:r>
              <w:rPr>
                <w:rFonts w:hint="eastAsia" w:ascii="宋体" w:hAnsi="宋体"/>
                <w:b w:val="0"/>
                <w:bCs w:val="0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b w:val="0"/>
                <w:bCs w:val="0"/>
                <w:szCs w:val="21"/>
                <w:highlight w:val="none"/>
              </w:rPr>
              <w:t>。</w:t>
            </w:r>
          </w:p>
          <w:p>
            <w:pPr>
              <w:spacing w:line="520" w:lineRule="exact"/>
              <w:ind w:right="-55" w:rightChars="-26" w:firstLine="420" w:firstLineChars="20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重要电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力用户</w:t>
            </w:r>
            <w:r>
              <w:rPr>
                <w:rFonts w:hint="eastAsia" w:ascii="宋体" w:hAnsi="宋体"/>
                <w:szCs w:val="21"/>
                <w:highlight w:val="none"/>
              </w:rPr>
              <w:t>应配置容量标准达到保安负荷120%的自备应急电源。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7" w:hRule="atLeast"/>
          <w:jc w:val="center"/>
        </w:trPr>
        <w:tc>
          <w:tcPr>
            <w:tcW w:w="98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重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要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性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等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级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自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认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定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情</w:t>
            </w: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  <w:p>
            <w:pPr>
              <w:adjustRightInd w:val="0"/>
              <w:snapToGrid w:val="0"/>
              <w:ind w:right="-53" w:rightChars="-25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况</w:t>
            </w:r>
          </w:p>
        </w:tc>
        <w:tc>
          <w:tcPr>
            <w:tcW w:w="7541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right="-55" w:rightChars="-26" w:firstLine="420" w:firstLineChars="200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我单位已仔细阅读上述重要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性</w:t>
            </w:r>
            <w:r>
              <w:rPr>
                <w:rFonts w:hint="eastAsia" w:ascii="宋体" w:hAnsi="宋体"/>
                <w:szCs w:val="21"/>
                <w:highlight w:val="none"/>
              </w:rPr>
              <w:t>等级说明。经过认真核对，我单位具有一级负荷     kW，二级负荷     kW，需保安负荷     kW。在发生供电中断情况下将产生如下结果：</w:t>
            </w:r>
            <w:r>
              <w:rPr>
                <w:rFonts w:hint="eastAsia" w:ascii="宋体" w:hAnsi="宋体"/>
                <w:szCs w:val="21"/>
                <w:highlight w:val="none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  <w:highlight w:val="none"/>
              </w:rPr>
              <w:t>。本单位属于：</w:t>
            </w:r>
          </w:p>
          <w:p>
            <w:pPr>
              <w:spacing w:line="560" w:lineRule="exact"/>
              <w:ind w:right="-55" w:rightChars="-26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1）□煤矿□非煤矿山□石油□化工□冶金□危险化学品□其它高危类</w:t>
            </w:r>
          </w:p>
          <w:p>
            <w:pPr>
              <w:spacing w:line="560" w:lineRule="exact"/>
              <w:ind w:right="-55" w:rightChars="-26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□党政机关□应急指挥中心□国防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军工</w:t>
            </w:r>
            <w:r>
              <w:rPr>
                <w:rFonts w:hint="eastAsia" w:ascii="宋体" w:hAnsi="宋体"/>
                <w:szCs w:val="21"/>
                <w:highlight w:val="none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新闻媒体</w:t>
            </w:r>
            <w:r>
              <w:rPr>
                <w:rFonts w:hint="eastAsia" w:ascii="宋体" w:hAnsi="宋体"/>
                <w:szCs w:val="21"/>
                <w:highlight w:val="none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通信</w:t>
            </w:r>
            <w:r>
              <w:rPr>
                <w:rFonts w:hint="eastAsia" w:ascii="宋体" w:hAnsi="宋体"/>
                <w:szCs w:val="21"/>
                <w:highlight w:val="none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金融及数据中心</w:t>
            </w:r>
            <w:r>
              <w:rPr>
                <w:rFonts w:hint="eastAsia" w:ascii="宋体" w:hAnsi="宋体"/>
                <w:szCs w:val="21"/>
                <w:highlight w:val="none"/>
              </w:rPr>
              <w:t>□交通运输□公共事业□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人员密集</w:t>
            </w:r>
            <w:r>
              <w:rPr>
                <w:rFonts w:hint="eastAsia" w:ascii="宋体" w:hAnsi="宋体"/>
                <w:szCs w:val="21"/>
                <w:highlight w:val="none"/>
              </w:rPr>
              <w:t>□其它重要类</w:t>
            </w:r>
          </w:p>
          <w:p>
            <w:pPr>
              <w:spacing w:line="560" w:lineRule="exact"/>
              <w:ind w:right="-55" w:rightChars="-26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2）□特级重要电力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 xml:space="preserve">    □一级重要电力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 xml:space="preserve">    □二级重要电力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 xml:space="preserve"> </w:t>
            </w:r>
          </w:p>
          <w:p>
            <w:pPr>
              <w:spacing w:line="560" w:lineRule="exact"/>
              <w:ind w:right="-55" w:rightChars="-26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 xml:space="preserve">    □临时重要电力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 xml:space="preserve">  □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普通</w:t>
            </w:r>
            <w:r>
              <w:rPr>
                <w:rFonts w:hint="eastAsia" w:ascii="宋体" w:hAnsi="宋体"/>
                <w:szCs w:val="21"/>
                <w:highlight w:val="none"/>
              </w:rPr>
              <w:t>电力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/>
                <w:szCs w:val="21"/>
                <w:highlight w:val="none"/>
              </w:rPr>
              <w:t xml:space="preserve">  </w:t>
            </w:r>
          </w:p>
          <w:p>
            <w:pPr>
              <w:spacing w:line="560" w:lineRule="exact"/>
              <w:ind w:right="-55" w:rightChars="-26"/>
              <w:rPr>
                <w:rFonts w:hint="eastAsia" w:ascii="宋体" w:hAnsi="宋体"/>
                <w:szCs w:val="21"/>
                <w:highlight w:val="none"/>
              </w:rPr>
            </w:pPr>
            <w:bookmarkStart w:id="0" w:name="_GoBack"/>
            <w:bookmarkEnd w:id="0"/>
          </w:p>
          <w:p>
            <w:pPr>
              <w:spacing w:line="560" w:lineRule="exact"/>
              <w:ind w:right="-55" w:rightChars="-26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法人或授权代表签字：                  单位盖章：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3516F"/>
    <w:rsid w:val="2F33516F"/>
    <w:rsid w:val="50C84E8E"/>
    <w:rsid w:val="77FFA52D"/>
    <w:rsid w:val="BFB93012"/>
    <w:rsid w:val="FFD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2023-12-21T10:12:00Z</dcterms:created>
  <dc:creator>xun.liu</dc:creator>
  <cp:lastModifiedBy>李殿志</cp:lastModifiedBy>
  <dcterms:modified xsi:type="dcterms:W3CDTF">2024-02-29T09:55:40Z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E48F757810A94A1FAEE277D1127BF908</vt:lpwstr>
  </property>
</Properties>
</file>