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C6445">
      <w:pPr>
        <w:spacing w:line="560" w:lineRule="exact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</w:t>
      </w:r>
    </w:p>
    <w:p w14:paraId="152CC0D6">
      <w:pPr>
        <w:pStyle w:val="17"/>
        <w:jc w:val="both"/>
        <w:rPr>
          <w:rFonts w:hint="default" w:ascii="Times New Roman" w:hAnsi="Times New Roman" w:eastAsia="方正小标宋简体" w:cs="Times New Roman"/>
          <w:color w:val="auto"/>
          <w:kern w:val="2"/>
          <w:sz w:val="52"/>
          <w:szCs w:val="52"/>
          <w:highlight w:val="none"/>
          <w:lang w:val="en-US" w:eastAsia="zh-CN" w:bidi="ar-SA"/>
        </w:rPr>
      </w:pPr>
    </w:p>
    <w:p w14:paraId="07914170">
      <w:pPr>
        <w:spacing w:line="640" w:lineRule="exact"/>
        <w:jc w:val="center"/>
        <w:outlineLvl w:val="2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highlight w:val="none"/>
          <w:lang w:val="en-US" w:eastAsia="zh-CN" w:bidi="ar-SA"/>
        </w:rPr>
        <w:t>滨海新区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中小企业数字化转型城市试点“数字化水平评测服务项目”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申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书</w:t>
      </w:r>
    </w:p>
    <w:p w14:paraId="37A647E8">
      <w:pPr>
        <w:tabs>
          <w:tab w:val="left" w:pos="5220"/>
        </w:tabs>
        <w:spacing w:line="360" w:lineRule="auto"/>
        <w:rPr>
          <w:rFonts w:hint="default" w:ascii="Times New Roman" w:hAnsi="Times New Roman" w:eastAsia="仿宋" w:cs="Times New Roman"/>
          <w:b/>
          <w:color w:val="auto"/>
          <w:sz w:val="24"/>
          <w:szCs w:val="24"/>
          <w:highlight w:val="none"/>
        </w:rPr>
      </w:pPr>
    </w:p>
    <w:p w14:paraId="2A93CDE9">
      <w:pPr>
        <w:spacing w:line="360" w:lineRule="auto"/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</w:rPr>
      </w:pPr>
    </w:p>
    <w:p w14:paraId="505BD926">
      <w:pPr>
        <w:pStyle w:val="2"/>
        <w:jc w:val="both"/>
        <w:rPr>
          <w:rFonts w:hint="default"/>
          <w:color w:val="auto"/>
          <w:highlight w:val="none"/>
        </w:rPr>
      </w:pPr>
    </w:p>
    <w:p w14:paraId="53FDF505">
      <w:pPr>
        <w:spacing w:line="360" w:lineRule="auto"/>
        <w:jc w:val="left"/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</w:rPr>
      </w:pPr>
    </w:p>
    <w:p w14:paraId="49575686">
      <w:pPr>
        <w:spacing w:line="360" w:lineRule="auto"/>
        <w:jc w:val="left"/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</w:rPr>
      </w:pPr>
    </w:p>
    <w:p w14:paraId="51668A04">
      <w:pPr>
        <w:spacing w:line="360" w:lineRule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</w:p>
    <w:p w14:paraId="08C05F97">
      <w:pPr>
        <w:spacing w:line="360" w:lineRule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</w:p>
    <w:p w14:paraId="43EEF76D">
      <w:pPr>
        <w:spacing w:line="360" w:lineRule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</w:p>
    <w:p w14:paraId="0C1027C4">
      <w:pPr>
        <w:spacing w:line="360" w:lineRule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申 报 单 位（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                   </w:t>
      </w:r>
    </w:p>
    <w:p w14:paraId="0C75A0C3">
      <w:pPr>
        <w:spacing w:line="360" w:lineRule="auto"/>
        <w:ind w:firstLine="0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          </w:t>
      </w:r>
    </w:p>
    <w:p w14:paraId="116F416C">
      <w:pPr>
        <w:spacing w:line="360" w:lineRule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期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                  </w:t>
      </w:r>
    </w:p>
    <w:p w14:paraId="0ACB000D">
      <w:pPr>
        <w:tabs>
          <w:tab w:val="left" w:pos="5220"/>
        </w:tabs>
        <w:spacing w:line="360" w:lineRule="auto"/>
        <w:rPr>
          <w:rFonts w:hint="default" w:ascii="Times New Roman" w:hAnsi="Times New Roman" w:eastAsia="仿宋" w:cs="Times New Roman"/>
          <w:b/>
          <w:color w:val="auto"/>
          <w:sz w:val="32"/>
          <w:szCs w:val="32"/>
          <w:highlight w:val="none"/>
        </w:rPr>
      </w:pPr>
    </w:p>
    <w:p w14:paraId="2B27E704">
      <w:pPr>
        <w:tabs>
          <w:tab w:val="left" w:pos="5220"/>
        </w:tabs>
        <w:spacing w:line="360" w:lineRule="auto"/>
        <w:rPr>
          <w:rFonts w:hint="default" w:ascii="Times New Roman" w:hAnsi="Times New Roman" w:eastAsia="仿宋" w:cs="Times New Roman"/>
          <w:b/>
          <w:color w:val="auto"/>
          <w:sz w:val="32"/>
          <w:szCs w:val="32"/>
          <w:highlight w:val="none"/>
        </w:rPr>
      </w:pPr>
    </w:p>
    <w:p w14:paraId="5FF2C93D">
      <w:pPr>
        <w:pStyle w:val="2"/>
        <w:rPr>
          <w:rFonts w:hint="default" w:ascii="Times New Roman" w:hAnsi="Times New Roman" w:eastAsia="仿宋" w:cs="Times New Roman"/>
          <w:b/>
          <w:color w:val="auto"/>
          <w:sz w:val="32"/>
          <w:szCs w:val="32"/>
          <w:highlight w:val="none"/>
        </w:rPr>
      </w:pPr>
    </w:p>
    <w:p w14:paraId="7F532485">
      <w:pPr>
        <w:rPr>
          <w:rFonts w:hint="default"/>
        </w:rPr>
      </w:pPr>
      <w:bookmarkStart w:id="0" w:name="_GoBack"/>
      <w:bookmarkEnd w:id="0"/>
    </w:p>
    <w:p w14:paraId="7D6438CC">
      <w:pPr>
        <w:tabs>
          <w:tab w:val="left" w:pos="5220"/>
        </w:tabs>
        <w:spacing w:line="360" w:lineRule="auto"/>
        <w:rPr>
          <w:rFonts w:hint="default" w:ascii="Times New Roman" w:hAnsi="Times New Roman" w:eastAsia="仿宋" w:cs="Times New Roman"/>
          <w:b/>
          <w:color w:val="auto"/>
          <w:sz w:val="32"/>
          <w:szCs w:val="32"/>
          <w:highlight w:val="none"/>
        </w:rPr>
      </w:pPr>
    </w:p>
    <w:p w14:paraId="40FA6F9B">
      <w:pPr>
        <w:spacing w:line="520" w:lineRule="exact"/>
        <w:jc w:val="center"/>
        <w:rPr>
          <w:rFonts w:hint="eastAsia" w:ascii="Times New Roman" w:hAnsi="Times New Roman" w:eastAsia="华文中宋" w:cs="Times New Roman"/>
          <w:color w:val="auto"/>
          <w:sz w:val="36"/>
          <w:szCs w:val="36"/>
          <w:highlight w:val="none"/>
          <w:lang w:val="en-US" w:eastAsia="zh-CN"/>
        </w:rPr>
      </w:pPr>
      <w:r>
        <w:rPr>
          <w:rFonts w:hint="default" w:ascii="Times New Roman" w:hAnsi="Times New Roman" w:eastAsia="华文中宋" w:cs="Times New Roman"/>
          <w:color w:val="auto"/>
          <w:sz w:val="36"/>
          <w:szCs w:val="36"/>
          <w:highlight w:val="none"/>
        </w:rPr>
        <w:t>滨海新区工业和信息化局</w:t>
      </w:r>
      <w:r>
        <w:rPr>
          <w:rFonts w:hint="eastAsia" w:ascii="Times New Roman" w:hAnsi="Times New Roman" w:eastAsia="华文中宋" w:cs="Times New Roman"/>
          <w:color w:val="auto"/>
          <w:sz w:val="36"/>
          <w:szCs w:val="36"/>
          <w:highlight w:val="none"/>
          <w:lang w:val="en-US" w:eastAsia="zh-CN"/>
        </w:rPr>
        <w:t>制</w:t>
      </w:r>
    </w:p>
    <w:p w14:paraId="77AC768B">
      <w:pPr>
        <w:numPr>
          <w:ilvl w:val="0"/>
          <w:numId w:val="0"/>
        </w:numPr>
        <w:snapToGrid/>
        <w:spacing w:line="360" w:lineRule="auto"/>
        <w:jc w:val="center"/>
        <w:rPr>
          <w:rFonts w:eastAsia="华文中宋"/>
          <w:color w:val="auto"/>
          <w:sz w:val="36"/>
          <w:szCs w:val="36"/>
          <w:highlight w:val="none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华文中宋" w:cs="Times New Roman"/>
          <w:color w:val="auto"/>
          <w:kern w:val="2"/>
          <w:sz w:val="36"/>
          <w:szCs w:val="36"/>
          <w:lang w:val="en-US" w:eastAsia="zh-CN" w:bidi="ar-SA"/>
        </w:rPr>
        <w:t>2025</w:t>
      </w:r>
      <w:r>
        <w:rPr>
          <w:rFonts w:eastAsia="华文中宋"/>
          <w:color w:val="auto"/>
          <w:sz w:val="36"/>
          <w:szCs w:val="36"/>
          <w:highlight w:val="none"/>
        </w:rPr>
        <w:t>年</w:t>
      </w:r>
      <w:r>
        <w:rPr>
          <w:rFonts w:hint="eastAsia" w:ascii="Times New Roman" w:hAnsi="Times New Roman" w:eastAsia="华文中宋" w:cs="Times New Roman"/>
          <w:color w:val="auto"/>
          <w:kern w:val="2"/>
          <w:sz w:val="36"/>
          <w:szCs w:val="36"/>
          <w:lang w:val="en-US" w:eastAsia="zh-CN" w:bidi="ar-SA"/>
        </w:rPr>
        <w:t>2</w:t>
      </w:r>
      <w:r>
        <w:rPr>
          <w:rFonts w:eastAsia="华文中宋"/>
          <w:color w:val="auto"/>
          <w:sz w:val="36"/>
          <w:szCs w:val="36"/>
          <w:highlight w:val="none"/>
        </w:rPr>
        <w:t>月</w:t>
      </w:r>
    </w:p>
    <w:p w14:paraId="4002257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firstLine="0"/>
        <w:contextualSpacing/>
        <w:textAlignment w:val="auto"/>
        <w:rPr>
          <w:rFonts w:hint="eastAsia" w:ascii="黑体" w:hAnsi="黑体" w:eastAsia="黑体" w:cs="楷体_GB2312"/>
          <w:b w:val="0"/>
          <w:bCs w:val="0"/>
          <w:color w:val="00000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楷体_GB2312"/>
          <w:b w:val="0"/>
          <w:bCs w:val="0"/>
          <w:color w:val="000000"/>
          <w:sz w:val="32"/>
          <w:szCs w:val="32"/>
          <w:lang w:val="en-US" w:eastAsia="zh-CN" w:bidi="ar"/>
        </w:rPr>
        <w:t>一、申报单位基本信息</w:t>
      </w:r>
    </w:p>
    <w:tbl>
      <w:tblPr>
        <w:tblStyle w:val="12"/>
        <w:tblW w:w="9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9"/>
        <w:gridCol w:w="1278"/>
        <w:gridCol w:w="1482"/>
        <w:gridCol w:w="1576"/>
        <w:gridCol w:w="2565"/>
      </w:tblGrid>
      <w:tr w14:paraId="79092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902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54F0D"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1.申报单位信息</w:t>
            </w:r>
          </w:p>
        </w:tc>
      </w:tr>
      <w:tr w14:paraId="18A67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926A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名称</w:t>
            </w:r>
          </w:p>
        </w:tc>
        <w:tc>
          <w:tcPr>
            <w:tcW w:w="690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BCC4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542D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EFB3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组织机构代码</w:t>
            </w:r>
          </w:p>
        </w:tc>
        <w:tc>
          <w:tcPr>
            <w:tcW w:w="27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04EC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252D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成立时间</w:t>
            </w:r>
          </w:p>
        </w:tc>
        <w:tc>
          <w:tcPr>
            <w:tcW w:w="25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0ED2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C6D8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8D9E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通讯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地址</w:t>
            </w:r>
          </w:p>
        </w:tc>
        <w:tc>
          <w:tcPr>
            <w:tcW w:w="690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6333B">
            <w:pPr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48A5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902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EC7AE">
            <w:pPr>
              <w:rPr>
                <w:rFonts w:hint="eastAsia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2.项目负责人信息</w:t>
            </w:r>
          </w:p>
        </w:tc>
      </w:tr>
      <w:tr w14:paraId="118E2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8486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2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52EE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0A03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414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05EE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17D2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7C76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2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06C3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1BE4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414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E1E4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D44E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1" w:hRule="atLeast"/>
          <w:jc w:val="center"/>
        </w:trPr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0D6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atLeast"/>
              <w:contextualSpacing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申报单位简介</w:t>
            </w:r>
          </w:p>
        </w:tc>
        <w:tc>
          <w:tcPr>
            <w:tcW w:w="690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69F0C">
            <w:pPr>
              <w:jc w:val="left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不超过500字</w:t>
            </w:r>
          </w:p>
        </w:tc>
      </w:tr>
    </w:tbl>
    <w:p w14:paraId="65FE0E64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contextualSpacing w:val="0"/>
        <w:textAlignment w:val="auto"/>
        <w:rPr>
          <w:rFonts w:hint="eastAsia" w:ascii="黑体" w:hAnsi="黑体" w:eastAsia="黑体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br w:type="page"/>
      </w:r>
    </w:p>
    <w:p w14:paraId="7A25A50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firstLine="0"/>
        <w:contextualSpacing/>
        <w:textAlignment w:val="auto"/>
        <w:rPr>
          <w:rFonts w:hint="eastAsia" w:ascii="黑体" w:hAnsi="黑体" w:eastAsia="黑体" w:cs="楷体_GB2312"/>
          <w:b w:val="0"/>
          <w:bCs w:val="0"/>
          <w:color w:val="00000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楷体_GB2312"/>
          <w:b w:val="0"/>
          <w:bCs w:val="0"/>
          <w:color w:val="000000"/>
          <w:sz w:val="32"/>
          <w:szCs w:val="32"/>
          <w:lang w:val="en-US" w:eastAsia="zh-CN" w:bidi="ar"/>
        </w:rPr>
        <w:t>二、评测服务方案</w:t>
      </w:r>
    </w:p>
    <w:p w14:paraId="39B2BA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default" w:ascii="楷体" w:hAnsi="楷体" w:eastAsia="楷体" w:cs="楷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  <w:lang w:val="en-US" w:eastAsia="zh-CN"/>
        </w:rPr>
        <w:t>（一）评测服务相关</w:t>
      </w:r>
      <w:r>
        <w:rPr>
          <w:rFonts w:hint="default" w:ascii="楷体" w:hAnsi="楷体" w:eastAsia="楷体" w:cs="楷体"/>
          <w:b/>
          <w:bCs/>
          <w:color w:val="auto"/>
          <w:sz w:val="32"/>
          <w:szCs w:val="32"/>
          <w:highlight w:val="none"/>
          <w:lang w:val="en-US" w:eastAsia="zh-CN"/>
        </w:rPr>
        <w:t>标准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  <w:lang w:val="en-US" w:eastAsia="zh-CN"/>
        </w:rPr>
        <w:t>理解</w:t>
      </w:r>
    </w:p>
    <w:p w14:paraId="2CAD4A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对工信部发布的最新版《中小企业数字化水平评测指标》标准的应用掌握情况（包括但不限于通篇理解、内容分析、应用处理等）。</w:t>
      </w:r>
    </w:p>
    <w:p w14:paraId="3112A4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default" w:ascii="楷体" w:hAnsi="楷体" w:eastAsia="楷体" w:cs="楷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  <w:lang w:val="en-US" w:eastAsia="zh-CN"/>
        </w:rPr>
        <w:t>（二）项目实施</w:t>
      </w:r>
      <w:r>
        <w:rPr>
          <w:rFonts w:hint="default" w:ascii="楷体" w:hAnsi="楷体" w:eastAsia="楷体" w:cs="楷体"/>
          <w:b/>
          <w:bCs/>
          <w:color w:val="auto"/>
          <w:sz w:val="32"/>
          <w:szCs w:val="32"/>
          <w:highlight w:val="none"/>
          <w:lang w:val="en-US" w:eastAsia="zh-CN"/>
        </w:rPr>
        <w:t>方案</w:t>
      </w:r>
    </w:p>
    <w:p w14:paraId="20CB0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对本项目的项目实施方案，包含但不限于整体工作思路、团队组织架构、工作方法、技术路线、评测流程、任务分解、评测报告编制模板等。</w:t>
      </w:r>
    </w:p>
    <w:p w14:paraId="3C5874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  <w:lang w:val="en-US" w:eastAsia="zh-CN"/>
        </w:rPr>
        <w:t>（三）项目实施计划</w:t>
      </w:r>
    </w:p>
    <w:p w14:paraId="28C53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包括但不限于短中长期计划、单家企业评测计划。</w:t>
      </w:r>
    </w:p>
    <w:p w14:paraId="1F864A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default" w:ascii="楷体" w:hAnsi="楷体" w:eastAsia="楷体" w:cs="楷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  <w:lang w:val="en-US" w:eastAsia="zh-CN"/>
        </w:rPr>
        <w:t>（四）评测服务</w:t>
      </w:r>
      <w:r>
        <w:rPr>
          <w:rFonts w:hint="default" w:ascii="楷体" w:hAnsi="楷体" w:eastAsia="楷体" w:cs="楷体"/>
          <w:b/>
          <w:bCs/>
          <w:color w:val="auto"/>
          <w:sz w:val="32"/>
          <w:szCs w:val="32"/>
          <w:highlight w:val="none"/>
          <w:lang w:val="en-US" w:eastAsia="zh-CN"/>
        </w:rPr>
        <w:t>保障方案</w:t>
      </w:r>
    </w:p>
    <w:p w14:paraId="4613C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介绍为完成评测服务目标所提供的服务保障方案，包括建立并有效运行中小企业数字化转型评测的工作管理体系，明确评测过程管理、监督考核和责任机制，能够对评测行为和评测结果负责等服务保障方案。（需提供评测结果负责的承诺函）</w:t>
      </w:r>
    </w:p>
    <w:p w14:paraId="27860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  <w:lang w:val="en-US" w:eastAsia="zh-CN"/>
        </w:rPr>
        <w:t>（五）外部指导专家情况</w:t>
      </w:r>
    </w:p>
    <w:p w14:paraId="1F13D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提供外部专家（副高级或副教授以上职称）名单。（须提供申请单位具备外部专家组织能力承诺，并提供专家简介、职称证书（职称中工作单位为非投标单位）、学历证明等证明材料）</w:t>
      </w:r>
    </w:p>
    <w:p w14:paraId="358AF9A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contextualSpacing/>
        <w:textAlignment w:val="auto"/>
        <w:rPr>
          <w:rFonts w:hint="eastAsia" w:ascii="黑体" w:hAnsi="黑体" w:eastAsia="黑体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75E58F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contextualSpacing/>
        <w:textAlignment w:val="auto"/>
        <w:rPr>
          <w:rFonts w:hint="eastAsia" w:ascii="黑体" w:hAnsi="黑体" w:eastAsia="黑体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三、评测服务实力</w:t>
      </w:r>
    </w:p>
    <w:p w14:paraId="7FABF3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  <w:lang w:val="en-US" w:eastAsia="zh-CN"/>
        </w:rPr>
        <w:t>（一）技术服务案例</w:t>
      </w:r>
    </w:p>
    <w:p w14:paraId="243D59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2024年1月1日以来，参与过中小企业数字化转型城市试点评估诊断、评测服务工作的服务商，提供业绩证明材料。2024年1月1日以来，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提供过数字化转型或智能制造领域相关咨询、诊断、评估服务的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，提供业绩证明材料。（提供以上业绩对应的合同或中标证书扫描件或官方文件通知，并加盖单位公章）</w:t>
      </w:r>
    </w:p>
    <w:p w14:paraId="06275E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  <w:lang w:val="en-US" w:eastAsia="zh-CN"/>
        </w:rPr>
        <w:t>（二）专业技术能力</w:t>
      </w:r>
    </w:p>
    <w:p w14:paraId="6C88B1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提供相关资质情况，包括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Hans"/>
        </w:rPr>
        <w:t>电子、信息工程咨询资质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（提供资质证书复印件）；数字化转型、智能制造成熟度评估等相关领域评估机构资质（提供官网截图和证书扫描件）。</w:t>
      </w:r>
    </w:p>
    <w:p w14:paraId="75E91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提供相关奖项情况，包括荣获过数字化、信息技术领域国家级奖项，荣获国家科学技术进步奖等相关奖项（需提供获奖证书复印件加盖公章）。</w:t>
      </w:r>
    </w:p>
    <w:p w14:paraId="2ACFBC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  <w:lang w:val="en-US" w:eastAsia="zh-CN"/>
        </w:rPr>
        <w:t>（三）</w:t>
      </w:r>
      <w:r>
        <w:rPr>
          <w:rFonts w:hint="default" w:ascii="楷体" w:hAnsi="楷体" w:eastAsia="楷体" w:cs="楷体"/>
          <w:b/>
          <w:bCs/>
          <w:color w:val="auto"/>
          <w:sz w:val="32"/>
          <w:szCs w:val="32"/>
          <w:highlight w:val="none"/>
          <w:lang w:val="en-US" w:eastAsia="zh-CN"/>
        </w:rPr>
        <w:t>项目团队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  <w:lang w:val="en-US" w:eastAsia="zh-CN"/>
        </w:rPr>
        <w:t>保障</w:t>
      </w:r>
    </w:p>
    <w:p w14:paraId="576FB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拟提供评测服务的项目负责人及主要服务人员情况、分工安排等。（需提供人员职称复印件、资质证明及提供上述人员在申报文件递交截止日前6个月内（含材料递交截止时间当月）任意1个月缴纳社保资金的有效的社保证明材料。）</w:t>
      </w:r>
    </w:p>
    <w:p w14:paraId="65D5714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firstLine="0"/>
        <w:contextualSpacing/>
        <w:textAlignment w:val="auto"/>
        <w:rPr>
          <w:rFonts w:hint="eastAsia" w:ascii="黑体" w:hAnsi="黑体" w:eastAsia="黑体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222A270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firstLine="0"/>
        <w:contextualSpacing/>
        <w:textAlignment w:val="auto"/>
        <w:rPr>
          <w:rFonts w:hint="eastAsia" w:ascii="黑体" w:hAnsi="黑体" w:eastAsia="黑体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0239A53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firstLine="0"/>
        <w:contextualSpacing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四、</w:t>
      </w:r>
      <w:r>
        <w:rPr>
          <w:rFonts w:hint="eastAsia" w:ascii="黑体" w:hAnsi="黑体" w:eastAsia="黑体" w:cs="楷体_GB2312"/>
          <w:b w:val="0"/>
          <w:bCs w:val="0"/>
          <w:color w:val="000000"/>
          <w:sz w:val="32"/>
          <w:szCs w:val="32"/>
          <w:lang w:val="en-US" w:eastAsia="zh-CN" w:bidi="ar"/>
        </w:rPr>
        <w:t>资金使用预算</w:t>
      </w:r>
    </w:p>
    <w:p w14:paraId="544A7242">
      <w:pPr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autoSpaceDE/>
        <w:bidi w:val="0"/>
        <w:adjustRightInd w:val="0"/>
        <w:snapToGrid w:val="0"/>
        <w:spacing w:before="0" w:after="0" w:line="520" w:lineRule="exact"/>
        <w:contextualSpacing/>
        <w:jc w:val="center"/>
        <w:textAlignment w:val="auto"/>
        <w:rPr>
          <w:rFonts w:hint="default"/>
          <w:color w:val="0000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 w:bidi="ar"/>
        </w:rPr>
        <w:t>4-1资金使用预算表</w:t>
      </w:r>
    </w:p>
    <w:p w14:paraId="5BA19989">
      <w:pPr>
        <w:pStyle w:val="17"/>
        <w:keepNext w:val="0"/>
        <w:keepLines w:val="0"/>
        <w:pageBreakBefore w:val="0"/>
        <w:kinsoku/>
        <w:overflowPunct/>
        <w:autoSpaceDE/>
        <w:bidi w:val="0"/>
        <w:snapToGrid w:val="0"/>
        <w:spacing w:before="0" w:after="0" w:line="520" w:lineRule="atLeast"/>
        <w:jc w:val="right"/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/>
          <w:color w:val="000000"/>
          <w:sz w:val="24"/>
          <w:szCs w:val="24"/>
          <w:lang w:val="en-US" w:eastAsia="zh-CN"/>
        </w:rPr>
        <w:t>单位：万元</w:t>
      </w:r>
    </w:p>
    <w:tbl>
      <w:tblPr>
        <w:tblStyle w:val="12"/>
        <w:tblW w:w="926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2930"/>
        <w:gridCol w:w="3810"/>
      </w:tblGrid>
      <w:tr w14:paraId="13EF5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9F0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预算金额</w:t>
            </w:r>
          </w:p>
        </w:tc>
        <w:tc>
          <w:tcPr>
            <w:tcW w:w="674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EDB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59E5D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591E80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4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AF3A1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665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2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4AD2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资金使用预算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FA61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预算金额</w:t>
            </w:r>
          </w:p>
        </w:tc>
        <w:tc>
          <w:tcPr>
            <w:tcW w:w="381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E7A0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计算依据</w:t>
            </w:r>
          </w:p>
        </w:tc>
      </w:tr>
      <w:tr w14:paraId="167E0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2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3A1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（一）评测费用</w:t>
            </w:r>
          </w:p>
        </w:tc>
      </w:tr>
      <w:tr w14:paraId="752A3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F02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人员评测费</w:t>
            </w:r>
          </w:p>
        </w:tc>
        <w:tc>
          <w:tcPr>
            <w:tcW w:w="2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A8CE8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35954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854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0B0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市内交通费</w:t>
            </w:r>
          </w:p>
        </w:tc>
        <w:tc>
          <w:tcPr>
            <w:tcW w:w="2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7FB6F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AC954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F2A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ED5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评测培训费</w:t>
            </w:r>
          </w:p>
        </w:tc>
        <w:tc>
          <w:tcPr>
            <w:tcW w:w="2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686EF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6932E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1DF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311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评测报告编制费</w:t>
            </w:r>
          </w:p>
        </w:tc>
        <w:tc>
          <w:tcPr>
            <w:tcW w:w="2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D3DCB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CA15F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127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2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9C54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205FE1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83E485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A0D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2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FF9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（二）差旅费用</w:t>
            </w:r>
          </w:p>
        </w:tc>
      </w:tr>
      <w:tr w14:paraId="2F7D4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7B3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人员差旅费</w:t>
            </w:r>
          </w:p>
        </w:tc>
        <w:tc>
          <w:tcPr>
            <w:tcW w:w="2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9BCBD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AEE91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54C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2D3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专家差旅费</w:t>
            </w:r>
          </w:p>
        </w:tc>
        <w:tc>
          <w:tcPr>
            <w:tcW w:w="29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816EA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2D089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E69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2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AD63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293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79F30B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FAC42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771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2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E38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（三）管理费及其他</w:t>
            </w:r>
          </w:p>
        </w:tc>
      </w:tr>
      <w:tr w14:paraId="5F1D1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A10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项目管理费</w:t>
            </w:r>
          </w:p>
        </w:tc>
        <w:tc>
          <w:tcPr>
            <w:tcW w:w="2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21598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9A1E3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986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FFA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专家咨询费</w:t>
            </w:r>
          </w:p>
        </w:tc>
        <w:tc>
          <w:tcPr>
            <w:tcW w:w="2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75DED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063E3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FC4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BC7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材料印刷费</w:t>
            </w:r>
          </w:p>
        </w:tc>
        <w:tc>
          <w:tcPr>
            <w:tcW w:w="2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8BC55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AB50C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A9F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85F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会议费</w:t>
            </w:r>
          </w:p>
        </w:tc>
        <w:tc>
          <w:tcPr>
            <w:tcW w:w="2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A7B51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AB809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2A4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4F9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其它费用</w:t>
            </w:r>
          </w:p>
        </w:tc>
        <w:tc>
          <w:tcPr>
            <w:tcW w:w="2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DD032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B4B1F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81C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2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880E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2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9110D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A3E0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3C2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537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费用合计</w:t>
            </w:r>
          </w:p>
        </w:tc>
        <w:tc>
          <w:tcPr>
            <w:tcW w:w="2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8B270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49EA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ED32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20" w:firstLineChars="200"/>
        <w:textAlignment w:val="auto"/>
      </w:pPr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 New Roman (标题 CS)">
    <w:altName w:val="宋体"/>
    <w:panose1 w:val="020B0604020002020204"/>
    <w:charset w:val="86"/>
    <w:family w:val="roma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82F389">
    <w:pPr>
      <w:pStyle w:val="9"/>
      <w:tabs>
        <w:tab w:val="center" w:pos="4482"/>
        <w:tab w:val="right" w:pos="8845"/>
      </w:tabs>
      <w:jc w:val="left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ge">
                <wp:posOffset>9843770</wp:posOffset>
              </wp:positionV>
              <wp:extent cx="1828800" cy="1828800"/>
              <wp:effectExtent l="0" t="0" r="0" b="0"/>
              <wp:wrapNone/>
              <wp:docPr id="409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8C9DC38">
                          <w:pPr>
                            <w:pStyle w:val="9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775.1pt;height:144pt;width:144pt;mso-position-horizontal:outside;mso-position-horizontal-relative:margin;mso-position-vertical-relative:page;mso-wrap-style:none;z-index:251659264;mso-width-relative:page;mso-height-relative:page;" filled="f" stroked="f" coordsize="21600,21600" o:gfxdata="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BdZ7n7VAAAACgEAAA8AAAAAAAAAAQAgAAAAIgAAAGRycy9kb3ducmV2Lnht&#10;bFBLAQIUABQAAAAIAIdO4kDd0jHkwwEAAIcDAAAOAAAAAAAAAAEAIAAAAC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8C9DC38">
                    <w:pPr>
                      <w:pStyle w:val="9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82E5F9">
    <w:pPr>
      <w:pStyle w:val="10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6046E"/>
    <w:rsid w:val="02AB3D4B"/>
    <w:rsid w:val="03CE778A"/>
    <w:rsid w:val="04517143"/>
    <w:rsid w:val="04FC43EA"/>
    <w:rsid w:val="069C50F1"/>
    <w:rsid w:val="08993540"/>
    <w:rsid w:val="0C452B1A"/>
    <w:rsid w:val="0DE14AC5"/>
    <w:rsid w:val="0E8A0CB9"/>
    <w:rsid w:val="0F865924"/>
    <w:rsid w:val="0FAE6C29"/>
    <w:rsid w:val="10616CA3"/>
    <w:rsid w:val="146D0594"/>
    <w:rsid w:val="154716B1"/>
    <w:rsid w:val="15804BC3"/>
    <w:rsid w:val="1B2A5B08"/>
    <w:rsid w:val="1CF209B6"/>
    <w:rsid w:val="1F100D66"/>
    <w:rsid w:val="21E309B4"/>
    <w:rsid w:val="21EB7868"/>
    <w:rsid w:val="24152BF0"/>
    <w:rsid w:val="262B2929"/>
    <w:rsid w:val="2B573615"/>
    <w:rsid w:val="2B623FE9"/>
    <w:rsid w:val="2C8608B9"/>
    <w:rsid w:val="2C8A5613"/>
    <w:rsid w:val="2D4A449A"/>
    <w:rsid w:val="2E2C7B08"/>
    <w:rsid w:val="30D16C82"/>
    <w:rsid w:val="322546D1"/>
    <w:rsid w:val="32AE0B6A"/>
    <w:rsid w:val="32E0684A"/>
    <w:rsid w:val="33482D6D"/>
    <w:rsid w:val="35156357"/>
    <w:rsid w:val="354E3F3E"/>
    <w:rsid w:val="35753BC1"/>
    <w:rsid w:val="359A7E9E"/>
    <w:rsid w:val="3A0379ED"/>
    <w:rsid w:val="3A3C1CB0"/>
    <w:rsid w:val="3B1B48C3"/>
    <w:rsid w:val="3C6D114E"/>
    <w:rsid w:val="3E6944AC"/>
    <w:rsid w:val="40A13ABC"/>
    <w:rsid w:val="41505924"/>
    <w:rsid w:val="425750DE"/>
    <w:rsid w:val="42EF4FB3"/>
    <w:rsid w:val="42FE6FA4"/>
    <w:rsid w:val="43DF63AB"/>
    <w:rsid w:val="44242F2B"/>
    <w:rsid w:val="466A3D31"/>
    <w:rsid w:val="468E2048"/>
    <w:rsid w:val="47FE6991"/>
    <w:rsid w:val="486E0728"/>
    <w:rsid w:val="48E94252"/>
    <w:rsid w:val="49A85E30"/>
    <w:rsid w:val="4C311FCC"/>
    <w:rsid w:val="529F34EC"/>
    <w:rsid w:val="52EC1142"/>
    <w:rsid w:val="5440047C"/>
    <w:rsid w:val="555B2034"/>
    <w:rsid w:val="56FC33A3"/>
    <w:rsid w:val="5852474B"/>
    <w:rsid w:val="59BE0DE3"/>
    <w:rsid w:val="5B4F10FD"/>
    <w:rsid w:val="5BDB7A2A"/>
    <w:rsid w:val="5E5B16A4"/>
    <w:rsid w:val="5E8343A9"/>
    <w:rsid w:val="60C610D4"/>
    <w:rsid w:val="63A677AF"/>
    <w:rsid w:val="63DA0F0F"/>
    <w:rsid w:val="64486549"/>
    <w:rsid w:val="663C37BC"/>
    <w:rsid w:val="675635B6"/>
    <w:rsid w:val="679338AF"/>
    <w:rsid w:val="698A1618"/>
    <w:rsid w:val="6A075CE6"/>
    <w:rsid w:val="6A104730"/>
    <w:rsid w:val="6A4E1D0F"/>
    <w:rsid w:val="6D9263B7"/>
    <w:rsid w:val="6E79786D"/>
    <w:rsid w:val="6FE13531"/>
    <w:rsid w:val="72AB5A39"/>
    <w:rsid w:val="72C30157"/>
    <w:rsid w:val="76A758E7"/>
    <w:rsid w:val="76E47C83"/>
    <w:rsid w:val="78F85788"/>
    <w:rsid w:val="79846965"/>
    <w:rsid w:val="7BC2430B"/>
    <w:rsid w:val="7C0E6296"/>
    <w:rsid w:val="7C180574"/>
    <w:rsid w:val="7C4D0079"/>
    <w:rsid w:val="7CB41BB0"/>
    <w:rsid w:val="7CF00554"/>
    <w:rsid w:val="7D961383"/>
    <w:rsid w:val="7E280665"/>
    <w:rsid w:val="7FD4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paragraph" w:styleId="5">
    <w:name w:val="heading 2"/>
    <w:basedOn w:val="1"/>
    <w:next w:val="1"/>
    <w:qFormat/>
    <w:uiPriority w:val="9"/>
    <w:pPr>
      <w:keepNext/>
      <w:keepLines/>
      <w:outlineLvl w:val="1"/>
    </w:pPr>
    <w:rPr>
      <w:rFonts w:ascii="Calibri Light" w:hAnsi="Calibri Light" w:eastAsia="楷体_GB2312" w:cs="宋体"/>
      <w:bCs/>
      <w:szCs w:val="32"/>
    </w:rPr>
  </w:style>
  <w:style w:type="paragraph" w:styleId="6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7">
    <w:name w:val="heading 4"/>
    <w:basedOn w:val="1"/>
    <w:next w:val="1"/>
    <w:qFormat/>
    <w:uiPriority w:val="9"/>
    <w:pPr>
      <w:keepNext/>
      <w:keepLines/>
      <w:ind w:firstLine="200" w:firstLineChars="200"/>
      <w:outlineLvl w:val="3"/>
    </w:pPr>
    <w:rPr>
      <w:rFonts w:cs="Times New Roman (标题 CS)"/>
      <w:b/>
      <w:bCs/>
      <w:szCs w:val="28"/>
    </w:rPr>
  </w:style>
  <w:style w:type="character" w:default="1" w:styleId="14">
    <w:name w:val="Default Paragraph Font"/>
    <w:qFormat/>
    <w:uiPriority w:val="0"/>
  </w:style>
  <w:style w:type="table" w:default="1" w:styleId="1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100" w:line="360" w:lineRule="exact"/>
      <w:jc w:val="center"/>
    </w:pPr>
    <w:rPr>
      <w:rFonts w:ascii="仿宋_GB2312" w:hAnsi="华文中宋" w:eastAsia="仿宋_GB2312"/>
      <w:sz w:val="24"/>
      <w:szCs w:val="24"/>
    </w:rPr>
  </w:style>
  <w:style w:type="paragraph" w:styleId="3">
    <w:name w:val="Title"/>
    <w:basedOn w:val="1"/>
    <w:next w:val="1"/>
    <w:qFormat/>
    <w:uiPriority w:val="10"/>
    <w:pPr>
      <w:widowControl w:val="0"/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2"/>
      <w:sz w:val="21"/>
      <w:szCs w:val="32"/>
      <w:lang w:val="en-US" w:eastAsia="zh-CN" w:bidi="ar-SA"/>
    </w:rPr>
  </w:style>
  <w:style w:type="paragraph" w:styleId="8">
    <w:name w:val="annotation text"/>
    <w:basedOn w:val="1"/>
    <w:qFormat/>
    <w:uiPriority w:val="0"/>
    <w:pPr>
      <w:jc w:val="left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paragraph" w:customStyle="1" w:styleId="16">
    <w:name w:val="null3"/>
    <w:qFormat/>
    <w:uiPriority w:val="0"/>
    <w:rPr>
      <w:rFonts w:hint="eastAsia" w:ascii="Calibri" w:hAnsi="Calibri" w:eastAsia="宋体" w:cs="宋体"/>
      <w:lang w:val="en-US"/>
    </w:rPr>
  </w:style>
  <w:style w:type="paragraph" w:customStyle="1" w:styleId="17">
    <w:name w:val="BodyText"/>
    <w:basedOn w:val="1"/>
    <w:qFormat/>
    <w:uiPriority w:val="0"/>
    <w:pPr>
      <w:spacing w:before="100" w:line="360" w:lineRule="exact"/>
      <w:jc w:val="center"/>
      <w:textAlignment w:val="baseline"/>
    </w:pPr>
    <w:rPr>
      <w:rFonts w:ascii="仿宋_GB2312" w:hAnsi="华文中宋" w:eastAsia="仿宋_GB2312"/>
      <w:kern w:val="2"/>
      <w:sz w:val="24"/>
      <w:szCs w:val="24"/>
      <w:lang w:val="en-US" w:eastAsia="zh-CN" w:bidi="ar-SA"/>
    </w:rPr>
  </w:style>
  <w:style w:type="paragraph" w:customStyle="1" w:styleId="18">
    <w:name w:val="正文-工信委"/>
    <w:basedOn w:val="1"/>
    <w:next w:val="1"/>
    <w:qFormat/>
    <w:uiPriority w:val="0"/>
    <w:pPr>
      <w:spacing w:line="560" w:lineRule="exact"/>
      <w:ind w:firstLine="200" w:firstLineChars="200"/>
    </w:pPr>
    <w:rPr>
      <w:rFonts w:ascii="Times New Roman" w:hAnsi="Times New Roman" w:eastAsia="仿宋_GB2312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1062</Words>
  <Characters>1080</Characters>
  <Paragraphs>118</Paragraphs>
  <TotalTime>1</TotalTime>
  <ScaleCrop>false</ScaleCrop>
  <LinksUpToDate>false</LinksUpToDate>
  <CharactersWithSpaces>1198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2024-12-08T03:46:00Z</dcterms:created>
  <dc:creator>liliwei</dc:creator>
  <cp:lastModifiedBy>豆町</cp:lastModifiedBy>
  <dcterms:modified xsi:type="dcterms:W3CDTF">2025-02-12T05:25:07Z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66A4D94F6C0F48798BACFB64B10566EA_13</vt:lpwstr>
  </property>
  <property fmtid="{D5CDD505-2E9C-101B-9397-08002B2CF9AE}" pid="4" name="KSOTemplateDocerSaveRecord">
    <vt:lpwstr>eyJoZGlkIjoiODc5YzM4OTcwODkzOWQ1MzZiOTllNDRhZGYyZWUwYTgiLCJ1c2VySWQiOiIyMzM5NzE5OTcifQ==</vt:lpwstr>
  </property>
</Properties>
</file>