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0" w:name="_Toc_4_4_0000000015"/>
      <w:r>
        <w:rPr>
          <w:rFonts w:ascii="方正仿宋_GBK" w:hAnsi="方正仿宋_GBK" w:eastAsia="方正仿宋_GBK" w:cs="方正仿宋_GBK"/>
          <w:sz w:val="28"/>
        </w:rPr>
        <w:t>2026年编制外长聘人员经费项目（机关事业单位辅助人员）绩效目标表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322201天津市滨海新区汉沽退出企业职工托管中心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2026年编制外长聘人员经费项目（机关事业单位辅助人员）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133600.00</w:t>
            </w:r>
          </w:p>
        </w:tc>
        <w:tc>
          <w:tcPr>
            <w:tcW w:w="1587" w:type="dxa"/>
            <w:vAlign w:val="center"/>
          </w:tcPr>
          <w:p>
            <w:pPr>
              <w:pStyle w:val="14"/>
            </w:pPr>
            <w:r>
              <w:t>其中：财政    资金</w:t>
            </w:r>
          </w:p>
        </w:tc>
        <w:tc>
          <w:tcPr>
            <w:tcW w:w="1843" w:type="dxa"/>
            <w:vAlign w:val="center"/>
          </w:tcPr>
          <w:p>
            <w:pPr>
              <w:pStyle w:val="13"/>
            </w:pPr>
            <w:r>
              <w:t>133600.00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多种用工派遣制人员经费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通过考量实际多种用工人员经费发放人数，反映多种用工人员经费发放工作开展的完成情况。</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对比，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通过实际支出标准与规定支出标准对比，反映多种用工人员经费支出标准的符合情况。</w:t>
            </w:r>
          </w:p>
        </w:tc>
        <w:tc>
          <w:tcPr>
            <w:tcW w:w="2551" w:type="dxa"/>
            <w:vAlign w:val="center"/>
          </w:tcPr>
          <w:p>
            <w:pPr>
              <w:pStyle w:val="13"/>
            </w:pPr>
            <w:r>
              <w:t>≤6.68万元/人/年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通过实际多种用工人员到岗人数与多种用工人员应到岗人数对比，反映多种用工人员的到岗情况。计算公式：多种用工人员到岗率=实际到岗人数÷应到岗人数×100%</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多种用工人员满意度</w:t>
            </w:r>
          </w:p>
        </w:tc>
        <w:tc>
          <w:tcPr>
            <w:tcW w:w="3430" w:type="dxa"/>
            <w:vAlign w:val="center"/>
          </w:tcPr>
          <w:p>
            <w:pPr>
              <w:pStyle w:val="13"/>
            </w:pPr>
            <w:r>
              <w:t>通过调查问卷中满意人数与调查总人数的比率，反映被调查对象对本项目的满意程度。计算公式：各类问题满意人数÷调查总人数×100%</w:t>
            </w:r>
          </w:p>
        </w:tc>
        <w:tc>
          <w:tcPr>
            <w:tcW w:w="2551" w:type="dxa"/>
            <w:vAlign w:val="center"/>
          </w:tcPr>
          <w:p>
            <w:pPr>
              <w:pStyle w:val="13"/>
            </w:pPr>
            <w:r>
              <w:t>95%</w:t>
            </w:r>
          </w:p>
        </w:tc>
      </w:tr>
    </w:tbl>
    <w:p>
      <w:pPr>
        <w:sectPr>
          <w:footerReference r:id="rId3" w:type="default"/>
          <w:footerReference r:id="rId4" w:type="even"/>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16"/>
      <w:r>
        <w:rPr>
          <w:rFonts w:ascii="方正仿宋_GBK" w:hAnsi="方正仿宋_GBK" w:eastAsia="方正仿宋_GBK" w:cs="方正仿宋_GBK"/>
          <w:sz w:val="28"/>
        </w:rPr>
        <w:t>2026年汉沽托管中心残疾人医疗补助项目绩效目标表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322201天津市滨海新区汉沽退出企业职工托管中心</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2026年汉沽托管中心残疾人医疗补助项目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32000.00</w:t>
            </w:r>
          </w:p>
        </w:tc>
        <w:tc>
          <w:tcPr>
            <w:tcW w:w="1587" w:type="dxa"/>
            <w:vAlign w:val="center"/>
          </w:tcPr>
          <w:p>
            <w:pPr>
              <w:pStyle w:val="14"/>
            </w:pPr>
            <w:r>
              <w:t>其中：财政    资金</w:t>
            </w:r>
          </w:p>
        </w:tc>
        <w:tc>
          <w:tcPr>
            <w:tcW w:w="1843" w:type="dxa"/>
            <w:vAlign w:val="center"/>
          </w:tcPr>
          <w:p>
            <w:pPr>
              <w:pStyle w:val="13"/>
            </w:pPr>
            <w:r>
              <w:t>32000.00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589" w:type="dxa"/>
            <w:gridSpan w:val="6"/>
            <w:vAlign w:val="center"/>
          </w:tcPr>
          <w:p>
            <w:pPr>
              <w:pStyle w:val="13"/>
            </w:pPr>
            <w:r>
              <w:t>发放残疾人医疗补贴。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1.通过为服务的残疾人发放医疗补贴，保障残疾人相关权益。</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医疗补贴发放人数</w:t>
            </w:r>
          </w:p>
        </w:tc>
        <w:tc>
          <w:tcPr>
            <w:tcW w:w="3430" w:type="dxa"/>
            <w:vAlign w:val="center"/>
          </w:tcPr>
          <w:p>
            <w:pPr>
              <w:pStyle w:val="13"/>
            </w:pPr>
            <w:r>
              <w:t>通过考量实际残疾人医疗补贴发放人数，反映该项经费发放工作开展的完成情况。</w:t>
            </w:r>
          </w:p>
        </w:tc>
        <w:tc>
          <w:tcPr>
            <w:tcW w:w="2551" w:type="dxa"/>
            <w:vAlign w:val="center"/>
          </w:tcPr>
          <w:p>
            <w:pPr>
              <w:pStyle w:val="13"/>
            </w:pPr>
            <w:r>
              <w:t>≥55人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医疗补贴发放准确率</w:t>
            </w:r>
          </w:p>
        </w:tc>
        <w:tc>
          <w:tcPr>
            <w:tcW w:w="3430" w:type="dxa"/>
            <w:vAlign w:val="center"/>
          </w:tcPr>
          <w:p>
            <w:pPr>
              <w:pStyle w:val="13"/>
            </w:pPr>
            <w:r>
              <w:t>通过残疾人医疗补贴实际发放的人员、金额与该项经费应发放的人员、金额对比，反映该项经费发放的准确情况。</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发放完成时间</w:t>
            </w:r>
          </w:p>
        </w:tc>
        <w:tc>
          <w:tcPr>
            <w:tcW w:w="3430" w:type="dxa"/>
            <w:vAlign w:val="center"/>
          </w:tcPr>
          <w:p>
            <w:pPr>
              <w:pStyle w:val="13"/>
            </w:pPr>
            <w:r>
              <w:t>通过考量实际残疾人医疗补贴发放完成时间，反映该项经费发放工作开展的完成情况。</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医疗补贴发放费用</w:t>
            </w:r>
          </w:p>
        </w:tc>
        <w:tc>
          <w:tcPr>
            <w:tcW w:w="3430" w:type="dxa"/>
            <w:vAlign w:val="center"/>
          </w:tcPr>
          <w:p>
            <w:pPr>
              <w:pStyle w:val="13"/>
            </w:pPr>
            <w:r>
              <w:t>通过实际支出成本与标准成本对比，反映该项经费使用的符合情况</w:t>
            </w:r>
          </w:p>
        </w:tc>
        <w:tc>
          <w:tcPr>
            <w:tcW w:w="2551" w:type="dxa"/>
            <w:vAlign w:val="center"/>
          </w:tcPr>
          <w:p>
            <w:pPr>
              <w:pStyle w:val="13"/>
            </w:pPr>
            <w:r>
              <w:t>≤32000元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保障服务的残疾人权益</w:t>
            </w:r>
          </w:p>
        </w:tc>
        <w:tc>
          <w:tcPr>
            <w:tcW w:w="3430" w:type="dxa"/>
            <w:vAlign w:val="center"/>
          </w:tcPr>
          <w:p>
            <w:pPr>
              <w:pStyle w:val="13"/>
            </w:pPr>
            <w:r>
              <w:t>通过残疾人医疗补贴及时准确发放，保障服务的残疾人相关权益。</w:t>
            </w:r>
          </w:p>
        </w:tc>
        <w:tc>
          <w:tcPr>
            <w:tcW w:w="2551" w:type="dxa"/>
            <w:vAlign w:val="center"/>
          </w:tcPr>
          <w:p>
            <w:pPr>
              <w:pStyle w:val="13"/>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享受补贴政策残疾人满意度</w:t>
            </w:r>
          </w:p>
        </w:tc>
        <w:tc>
          <w:tcPr>
            <w:tcW w:w="3430" w:type="dxa"/>
            <w:vAlign w:val="center"/>
          </w:tcPr>
          <w:p>
            <w:pPr>
              <w:pStyle w:val="13"/>
            </w:pPr>
            <w:r>
              <w:t>通过调查问卷中满意人数与调查总人数的比率，反映被调查对象对本项目的满意程度。计算公式：各类问题满意人数÷调查总人数×100%</w:t>
            </w:r>
          </w:p>
        </w:tc>
        <w:tc>
          <w:tcPr>
            <w:tcW w:w="2551" w:type="dxa"/>
            <w:vAlign w:val="center"/>
          </w:tcPr>
          <w:p>
            <w:pPr>
              <w:pStyle w:val="13"/>
            </w:pPr>
            <w:r>
              <w:t>≥95%</w:t>
            </w:r>
          </w:p>
        </w:tc>
      </w:tr>
    </w:tbl>
    <w:p>
      <w:pPr>
        <w:spacing w:before="0" w:after="0" w:line="240" w:lineRule="auto"/>
        <w:ind w:firstLine="0"/>
        <w:jc w:val="center"/>
        <w:outlineLvl w:val="9"/>
      </w:pPr>
      <w:bookmarkStart w:id="2" w:name="_GoBack"/>
      <w:bookmarkEnd w:id="2"/>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5"/>
  </w:compat>
  <w:rsids>
    <w:rsidRoot w:val="00000000"/>
    <w:rsid w:val="DFEF57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2026-01-21T00:03:00Z</dcterms:created>
  <dc:creator>kylin</dc:creator>
  <cp:lastModifiedBy>薛荣</cp:lastModifiedBy>
  <dcterms:modified xsi:type="dcterms:W3CDTF">2026-02-04T17:27:01Z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